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734D99" w:rsidRDefault="00734D99" w:rsidP="00625E6C">
      <w:pPr>
        <w:spacing w:line="360" w:lineRule="auto"/>
        <w:jc w:val="center"/>
        <w:rPr>
          <w:rFonts w:ascii="Times New Roman" w:hAnsi="Times New Roman" w:cs="Times New Roman"/>
          <w:b/>
          <w:sz w:val="36"/>
          <w:szCs w:val="36"/>
          <w:lang w:val="sr-Cyrl-RS"/>
        </w:rPr>
      </w:pPr>
      <w:r>
        <w:rPr>
          <w:rFonts w:ascii="Times New Roman" w:hAnsi="Times New Roman" w:cs="Times New Roman"/>
          <w:b/>
          <w:sz w:val="36"/>
          <w:szCs w:val="36"/>
          <w:lang w:val="sr-Cyrl-RS"/>
        </w:rPr>
        <w:t xml:space="preserve">ПРЕНОС ПОТРАЖИВАЊА ПРЕМА </w:t>
      </w:r>
    </w:p>
    <w:p w:rsidR="00625E6C" w:rsidRPr="00734D99" w:rsidRDefault="00734D99" w:rsidP="00625E6C">
      <w:pPr>
        <w:spacing w:line="360" w:lineRule="auto"/>
        <w:jc w:val="center"/>
        <w:rPr>
          <w:rFonts w:ascii="Times New Roman" w:hAnsi="Times New Roman" w:cs="Times New Roman"/>
          <w:b/>
          <w:sz w:val="36"/>
          <w:szCs w:val="36"/>
          <w:lang w:val="sr-Cyrl-RS"/>
        </w:rPr>
      </w:pPr>
      <w:r>
        <w:rPr>
          <w:rFonts w:ascii="Times New Roman" w:hAnsi="Times New Roman" w:cs="Times New Roman"/>
          <w:b/>
          <w:sz w:val="36"/>
          <w:szCs w:val="36"/>
          <w:lang w:val="sr-Cyrl-RS"/>
        </w:rPr>
        <w:t>СТЕЧАЈНОМ ДУЖНИКУ</w:t>
      </w:r>
    </w:p>
    <w:p w:rsidR="00625E6C" w:rsidRDefault="00625E6C" w:rsidP="00625E6C">
      <w:pPr>
        <w:spacing w:line="360" w:lineRule="auto"/>
        <w:jc w:val="both"/>
        <w:rPr>
          <w:rFonts w:ascii="Times New Roman" w:hAnsi="Times New Roman" w:cs="Times New Roman"/>
          <w:i/>
          <w:sz w:val="28"/>
          <w:szCs w:val="28"/>
          <w:lang w:val="sr-Cyrl-RS"/>
        </w:rPr>
      </w:pPr>
    </w:p>
    <w:p w:rsidR="00734D99" w:rsidRPr="00734D99" w:rsidRDefault="00734D99" w:rsidP="00625E6C">
      <w:pPr>
        <w:spacing w:line="360" w:lineRule="auto"/>
        <w:jc w:val="both"/>
        <w:rPr>
          <w:rFonts w:ascii="Times New Roman" w:hAnsi="Times New Roman" w:cs="Times New Roman"/>
          <w:sz w:val="24"/>
          <w:szCs w:val="24"/>
          <w:lang w:val="sr-Cyrl-RS"/>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rPr>
      </w:pPr>
    </w:p>
    <w:p w:rsidR="00625E6C" w:rsidRDefault="00625E6C" w:rsidP="00625E6C">
      <w:pPr>
        <w:spacing w:line="360" w:lineRule="auto"/>
        <w:jc w:val="both"/>
        <w:rPr>
          <w:rFonts w:ascii="Times New Roman" w:hAnsi="Times New Roman" w:cs="Times New Roman"/>
          <w:sz w:val="24"/>
          <w:szCs w:val="24"/>
          <w:lang w:val="sr-Cyrl-RS"/>
        </w:rPr>
      </w:pPr>
    </w:p>
    <w:p w:rsidR="00171076" w:rsidRDefault="00171076" w:rsidP="00625E6C">
      <w:pPr>
        <w:spacing w:line="360" w:lineRule="auto"/>
        <w:jc w:val="both"/>
        <w:rPr>
          <w:rFonts w:ascii="Times New Roman" w:hAnsi="Times New Roman" w:cs="Times New Roman"/>
          <w:sz w:val="24"/>
          <w:szCs w:val="24"/>
          <w:lang w:val="sr-Cyrl-RS"/>
        </w:rPr>
      </w:pPr>
    </w:p>
    <w:p w:rsidR="00171076" w:rsidRPr="00171076" w:rsidRDefault="00171076" w:rsidP="00625E6C">
      <w:pPr>
        <w:spacing w:line="360" w:lineRule="auto"/>
        <w:jc w:val="both"/>
        <w:rPr>
          <w:rFonts w:ascii="Times New Roman" w:hAnsi="Times New Roman" w:cs="Times New Roman"/>
          <w:sz w:val="24"/>
          <w:szCs w:val="24"/>
          <w:lang w:val="sr-Cyrl-RS"/>
        </w:rPr>
      </w:pPr>
    </w:p>
    <w:p w:rsidR="00625E6C" w:rsidRDefault="00734D99" w:rsidP="00625E6C">
      <w:pPr>
        <w:spacing w:line="240"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t>Тијана Љубисављевић</w:t>
      </w:r>
    </w:p>
    <w:p w:rsidR="00637072" w:rsidRDefault="0002589E" w:rsidP="00625E6C">
      <w:pPr>
        <w:spacing w:line="240"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637072">
        <w:rPr>
          <w:rFonts w:ascii="Times New Roman" w:hAnsi="Times New Roman" w:cs="Times New Roman"/>
          <w:b/>
          <w:sz w:val="24"/>
          <w:szCs w:val="24"/>
          <w:lang w:val="sr-Cyrl-RS"/>
        </w:rPr>
        <w:t>иректор Центра за стечај</w:t>
      </w:r>
    </w:p>
    <w:p w:rsidR="00637072" w:rsidRPr="00734D99" w:rsidRDefault="00637072" w:rsidP="00625E6C">
      <w:pPr>
        <w:spacing w:line="240"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Агенција за лиценцирање стечајних управника</w:t>
      </w:r>
    </w:p>
    <w:p w:rsidR="00953E58" w:rsidRPr="00171076" w:rsidRDefault="00953E58" w:rsidP="00625E6C">
      <w:pPr>
        <w:spacing w:line="360" w:lineRule="auto"/>
        <w:jc w:val="both"/>
        <w:rPr>
          <w:rFonts w:ascii="Times New Roman" w:hAnsi="Times New Roman" w:cs="Times New Roman"/>
          <w:sz w:val="24"/>
          <w:szCs w:val="24"/>
          <w:lang w:val="sr-Cyrl-RS"/>
        </w:rPr>
      </w:pPr>
    </w:p>
    <w:p w:rsidR="00734D99" w:rsidRPr="00734D99" w:rsidRDefault="00734D99" w:rsidP="00625E6C">
      <w:pPr>
        <w:spacing w:line="360" w:lineRule="auto"/>
        <w:jc w:val="both"/>
        <w:rPr>
          <w:rFonts w:ascii="Times New Roman" w:hAnsi="Times New Roman" w:cs="Times New Roman"/>
          <w:sz w:val="24"/>
          <w:szCs w:val="24"/>
          <w:lang w:val="sr-Cyrl-RS"/>
        </w:rPr>
      </w:pPr>
    </w:p>
    <w:p w:rsidR="00625E6C" w:rsidRDefault="00734D99" w:rsidP="00625E6C">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 xml:space="preserve">април 2017. </w:t>
      </w:r>
      <w:r w:rsidR="00171076">
        <w:rPr>
          <w:rFonts w:ascii="Times New Roman" w:hAnsi="Times New Roman" w:cs="Times New Roman"/>
          <w:sz w:val="28"/>
          <w:szCs w:val="28"/>
          <w:lang w:val="sr-Cyrl-RS"/>
        </w:rPr>
        <w:t>г</w:t>
      </w:r>
      <w:r>
        <w:rPr>
          <w:rFonts w:ascii="Times New Roman" w:hAnsi="Times New Roman" w:cs="Times New Roman"/>
          <w:sz w:val="28"/>
          <w:szCs w:val="28"/>
          <w:lang w:val="sr-Cyrl-RS"/>
        </w:rPr>
        <w:t>одине</w:t>
      </w:r>
    </w:p>
    <w:p w:rsidR="00171076" w:rsidRDefault="00E31349" w:rsidP="00CF0F33">
      <w:pPr>
        <w:spacing w:line="360" w:lineRule="auto"/>
        <w:jc w:val="center"/>
        <w:rPr>
          <w:rFonts w:ascii="Times New Roman" w:hAnsi="Times New Roman" w:cs="Times New Roman"/>
          <w:b/>
          <w:sz w:val="28"/>
          <w:szCs w:val="28"/>
          <w:lang w:val="sr-Cyrl-RS"/>
        </w:rPr>
      </w:pPr>
      <w:r w:rsidRPr="00CF0F33">
        <w:rPr>
          <w:rFonts w:ascii="Times New Roman" w:hAnsi="Times New Roman" w:cs="Times New Roman"/>
          <w:b/>
          <w:sz w:val="28"/>
          <w:szCs w:val="28"/>
          <w:lang w:val="sr-Cyrl-RS"/>
        </w:rPr>
        <w:lastRenderedPageBreak/>
        <w:t>Садржај:</w:t>
      </w:r>
    </w:p>
    <w:p w:rsidR="00CF0F33" w:rsidRPr="00CF0F33" w:rsidRDefault="00CF0F33" w:rsidP="00CF0F33">
      <w:pPr>
        <w:spacing w:line="360" w:lineRule="auto"/>
        <w:jc w:val="center"/>
        <w:rPr>
          <w:rFonts w:ascii="Times New Roman" w:hAnsi="Times New Roman" w:cs="Times New Roman"/>
          <w:b/>
          <w:sz w:val="28"/>
          <w:szCs w:val="28"/>
          <w:lang w:val="sr-Cyrl-RS"/>
        </w:rPr>
      </w:pPr>
    </w:p>
    <w:p w:rsidR="00E31349" w:rsidRPr="00CF0F33" w:rsidRDefault="00CF0F33" w:rsidP="00CF0F33">
      <w:pPr>
        <w:pStyle w:val="ListParagraph"/>
        <w:numPr>
          <w:ilvl w:val="0"/>
          <w:numId w:val="11"/>
        </w:numPr>
        <w:spacing w:line="360" w:lineRule="auto"/>
        <w:jc w:val="both"/>
        <w:rPr>
          <w:rFonts w:ascii="Times New Roman" w:hAnsi="Times New Roman" w:cs="Times New Roman"/>
          <w:sz w:val="24"/>
          <w:szCs w:val="24"/>
          <w:lang w:val="sr-Cyrl-RS"/>
        </w:rPr>
      </w:pPr>
      <w:r w:rsidRPr="00CF0F33">
        <w:rPr>
          <w:rFonts w:ascii="Times New Roman" w:hAnsi="Times New Roman" w:cs="Times New Roman"/>
          <w:sz w:val="24"/>
          <w:szCs w:val="24"/>
          <w:lang w:val="sr-Cyrl-RS"/>
        </w:rPr>
        <w:t>Увод</w:t>
      </w:r>
      <w:r>
        <w:rPr>
          <w:rFonts w:ascii="Times New Roman" w:hAnsi="Times New Roman" w:cs="Times New Roman"/>
          <w:sz w:val="24"/>
          <w:szCs w:val="24"/>
          <w:lang w:val="sr-Cyrl-RS"/>
        </w:rPr>
        <w:t>................................................................................................................................3</w:t>
      </w:r>
    </w:p>
    <w:p w:rsidR="00CF0F33" w:rsidRPr="00CF0F33" w:rsidRDefault="00CF0F33" w:rsidP="00CF0F33">
      <w:pPr>
        <w:pStyle w:val="ListParagraph"/>
        <w:numPr>
          <w:ilvl w:val="0"/>
          <w:numId w:val="11"/>
        </w:numPr>
        <w:spacing w:line="360" w:lineRule="auto"/>
        <w:jc w:val="both"/>
        <w:rPr>
          <w:rFonts w:ascii="Times New Roman" w:hAnsi="Times New Roman" w:cs="Times New Roman"/>
          <w:sz w:val="24"/>
          <w:szCs w:val="24"/>
          <w:lang w:val="sr-Cyrl-RS"/>
        </w:rPr>
      </w:pPr>
      <w:r w:rsidRPr="00CF0F33">
        <w:rPr>
          <w:rFonts w:ascii="Times New Roman" w:hAnsi="Times New Roman" w:cs="Times New Roman"/>
          <w:sz w:val="24"/>
          <w:szCs w:val="24"/>
          <w:lang w:val="sr-Cyrl-CS"/>
        </w:rPr>
        <w:t>Пренос потраживања према стечајном дужнику пре подношења пријаве потраживања</w:t>
      </w:r>
      <w:r>
        <w:rPr>
          <w:rFonts w:ascii="Times New Roman" w:hAnsi="Times New Roman" w:cs="Times New Roman"/>
          <w:sz w:val="24"/>
          <w:szCs w:val="24"/>
          <w:lang w:val="sr-Cyrl-CS"/>
        </w:rPr>
        <w:t>..................................................................................................................6</w:t>
      </w:r>
    </w:p>
    <w:p w:rsidR="00CF0F33" w:rsidRPr="00CF0F33" w:rsidRDefault="00CF0F33" w:rsidP="00CF0F33">
      <w:pPr>
        <w:pStyle w:val="ListParagraph"/>
        <w:numPr>
          <w:ilvl w:val="0"/>
          <w:numId w:val="11"/>
        </w:numPr>
        <w:spacing w:line="360" w:lineRule="auto"/>
        <w:jc w:val="both"/>
        <w:rPr>
          <w:rFonts w:ascii="Times New Roman" w:hAnsi="Times New Roman" w:cs="Times New Roman"/>
          <w:sz w:val="24"/>
          <w:szCs w:val="24"/>
          <w:lang w:val="sr-Cyrl-CS"/>
        </w:rPr>
      </w:pPr>
      <w:r w:rsidRPr="00CF0F33">
        <w:rPr>
          <w:rFonts w:ascii="Times New Roman" w:hAnsi="Times New Roman" w:cs="Times New Roman"/>
          <w:sz w:val="24"/>
          <w:szCs w:val="24"/>
          <w:lang w:val="sr-Cyrl-CS"/>
        </w:rPr>
        <w:t>Пренос потраживања према стечајном дужнику након подношења пријаве потраживања</w:t>
      </w:r>
      <w:r>
        <w:rPr>
          <w:rFonts w:ascii="Times New Roman" w:hAnsi="Times New Roman" w:cs="Times New Roman"/>
          <w:sz w:val="24"/>
          <w:szCs w:val="24"/>
          <w:lang w:val="sr-Cyrl-CS"/>
        </w:rPr>
        <w:t>..................................................................................................................6</w:t>
      </w:r>
    </w:p>
    <w:p w:rsidR="00CF0F33" w:rsidRPr="00CF0F33" w:rsidRDefault="00CF0F33" w:rsidP="00CF0F33">
      <w:pPr>
        <w:pStyle w:val="ListParagraph"/>
        <w:numPr>
          <w:ilvl w:val="0"/>
          <w:numId w:val="11"/>
        </w:numPr>
        <w:spacing w:line="360" w:lineRule="auto"/>
        <w:jc w:val="both"/>
        <w:rPr>
          <w:rFonts w:ascii="Times New Roman" w:hAnsi="Times New Roman" w:cs="Times New Roman"/>
          <w:sz w:val="24"/>
          <w:szCs w:val="24"/>
          <w:lang w:val="sr-Cyrl-CS"/>
        </w:rPr>
      </w:pPr>
      <w:r w:rsidRPr="00CF0F33">
        <w:rPr>
          <w:rFonts w:ascii="Times New Roman" w:hAnsi="Times New Roman" w:cs="Times New Roman"/>
          <w:sz w:val="24"/>
          <w:szCs w:val="24"/>
          <w:lang w:val="sr-Cyrl-CS"/>
        </w:rPr>
        <w:t>Пренос потраживања према стечајном дужнику након доношења закључка о коначној листи потраживања</w:t>
      </w:r>
      <w:r>
        <w:rPr>
          <w:rFonts w:ascii="Times New Roman" w:hAnsi="Times New Roman" w:cs="Times New Roman"/>
          <w:sz w:val="24"/>
          <w:szCs w:val="24"/>
          <w:lang w:val="sr-Cyrl-CS"/>
        </w:rPr>
        <w:t>.......................................................................................7</w:t>
      </w:r>
    </w:p>
    <w:p w:rsidR="00CF0F33" w:rsidRPr="00CF0F33" w:rsidRDefault="00CF0F33" w:rsidP="00CF0F33">
      <w:pPr>
        <w:pStyle w:val="ListParagraph"/>
        <w:numPr>
          <w:ilvl w:val="0"/>
          <w:numId w:val="11"/>
        </w:numPr>
        <w:spacing w:line="360" w:lineRule="auto"/>
        <w:jc w:val="both"/>
        <w:rPr>
          <w:rFonts w:ascii="Times New Roman" w:hAnsi="Times New Roman" w:cs="Times New Roman"/>
          <w:sz w:val="24"/>
          <w:szCs w:val="24"/>
          <w:lang w:val="sr-Cyrl-RS"/>
        </w:rPr>
      </w:pPr>
      <w:r w:rsidRPr="00CF0F33">
        <w:rPr>
          <w:rFonts w:ascii="Times New Roman" w:hAnsi="Times New Roman" w:cs="Times New Roman"/>
          <w:sz w:val="24"/>
          <w:szCs w:val="24"/>
          <w:lang w:val="sr-Cyrl-CS"/>
        </w:rPr>
        <w:t>Пренос потраживања према стечајном дужнику након доношења решења о главној деоби</w:t>
      </w:r>
      <w:r>
        <w:rPr>
          <w:rFonts w:ascii="Times New Roman" w:hAnsi="Times New Roman" w:cs="Times New Roman"/>
          <w:sz w:val="24"/>
          <w:szCs w:val="24"/>
          <w:lang w:val="sr-Cyrl-CS"/>
        </w:rPr>
        <w:t>...............................................................................................................</w:t>
      </w:r>
      <w:r w:rsidR="00ED51B2">
        <w:rPr>
          <w:rFonts w:ascii="Times New Roman" w:hAnsi="Times New Roman" w:cs="Times New Roman"/>
          <w:sz w:val="24"/>
          <w:szCs w:val="24"/>
          <w:lang w:val="sr-Cyrl-CS"/>
        </w:rPr>
        <w:t>12</w:t>
      </w:r>
    </w:p>
    <w:p w:rsidR="00CF0F33" w:rsidRPr="00CF0F33" w:rsidRDefault="00CF0F33" w:rsidP="00CF0F33">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E31349" w:rsidRDefault="00E31349" w:rsidP="00171076">
      <w:pPr>
        <w:spacing w:line="360" w:lineRule="auto"/>
        <w:jc w:val="both"/>
        <w:rPr>
          <w:rFonts w:ascii="Times New Roman" w:hAnsi="Times New Roman" w:cs="Times New Roman"/>
          <w:sz w:val="28"/>
          <w:szCs w:val="28"/>
          <w:lang w:val="sr-Cyrl-RS"/>
        </w:rPr>
      </w:pPr>
    </w:p>
    <w:p w:rsidR="00875440" w:rsidRDefault="00875440" w:rsidP="00254325">
      <w:pPr>
        <w:spacing w:line="360" w:lineRule="auto"/>
        <w:jc w:val="center"/>
        <w:rPr>
          <w:rFonts w:ascii="Times New Roman" w:hAnsi="Times New Roman" w:cs="Times New Roman"/>
          <w:sz w:val="28"/>
          <w:szCs w:val="28"/>
          <w:lang w:val="sr-Cyrl-RS"/>
        </w:rPr>
      </w:pPr>
    </w:p>
    <w:p w:rsidR="00E31349" w:rsidRPr="00CF0F33" w:rsidRDefault="00CF0F33" w:rsidP="00254325">
      <w:pPr>
        <w:spacing w:line="360" w:lineRule="auto"/>
        <w:jc w:val="center"/>
        <w:rPr>
          <w:rFonts w:ascii="Times New Roman" w:hAnsi="Times New Roman" w:cs="Times New Roman"/>
          <w:b/>
          <w:sz w:val="28"/>
          <w:szCs w:val="28"/>
          <w:lang w:val="sr-Cyrl-RS"/>
        </w:rPr>
      </w:pPr>
      <w:r w:rsidRPr="00CF0F33">
        <w:rPr>
          <w:rFonts w:ascii="Times New Roman" w:hAnsi="Times New Roman" w:cs="Times New Roman"/>
          <w:b/>
          <w:sz w:val="28"/>
          <w:szCs w:val="28"/>
          <w:lang w:val="sr-Cyrl-RS"/>
        </w:rPr>
        <w:t>Увод</w:t>
      </w:r>
    </w:p>
    <w:p w:rsidR="003731A5" w:rsidRPr="003731A5" w:rsidRDefault="006604EB" w:rsidP="00875440">
      <w:pPr>
        <w:spacing w:line="360" w:lineRule="auto"/>
        <w:ind w:left="-15"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3731A5" w:rsidRPr="003731A5">
        <w:rPr>
          <w:rFonts w:ascii="Times New Roman" w:hAnsi="Times New Roman" w:cs="Times New Roman"/>
          <w:sz w:val="24"/>
          <w:szCs w:val="24"/>
          <w:lang w:val="sr-Cyrl-RS"/>
        </w:rPr>
        <w:t xml:space="preserve">ржавни органи Републике Србије (Влада и Народна банка Србије) израдили су свеобухватну </w:t>
      </w:r>
      <w:r w:rsidR="003731A5" w:rsidRPr="00EF4355">
        <w:rPr>
          <w:rFonts w:ascii="Times New Roman" w:hAnsi="Times New Roman" w:cs="Times New Roman"/>
          <w:sz w:val="24"/>
          <w:szCs w:val="24"/>
          <w:lang w:val="sr-Cyrl-RS"/>
        </w:rPr>
        <w:t>Стратегију за решавање проблематичних кредита уз укључивање свих надлежних институција</w:t>
      </w:r>
      <w:r w:rsidRPr="00EF4355">
        <w:rPr>
          <w:rFonts w:ascii="Times New Roman" w:hAnsi="Times New Roman" w:cs="Times New Roman"/>
          <w:sz w:val="24"/>
          <w:szCs w:val="24"/>
          <w:lang w:val="sr-Cyrl-RS"/>
        </w:rPr>
        <w:t>, с обзиром да су проблематични кредити постали потенцијални извор системског ризика</w:t>
      </w:r>
      <w:r w:rsidR="003731A5" w:rsidRPr="00EF4355">
        <w:rPr>
          <w:rFonts w:ascii="Times New Roman" w:hAnsi="Times New Roman" w:cs="Times New Roman"/>
          <w:sz w:val="24"/>
          <w:szCs w:val="24"/>
          <w:lang w:val="sr-Cyrl-RS"/>
        </w:rPr>
        <w:t xml:space="preserve">. </w:t>
      </w:r>
      <w:r w:rsidRPr="00EF4355">
        <w:rPr>
          <w:rFonts w:ascii="Times New Roman" w:hAnsi="Times New Roman" w:cs="Times New Roman"/>
          <w:sz w:val="24"/>
          <w:szCs w:val="24"/>
          <w:lang w:val="sr-Cyrl-RS"/>
        </w:rPr>
        <w:t xml:space="preserve">Уз Стратегију израђена су и </w:t>
      </w:r>
      <w:r w:rsidR="003731A5" w:rsidRPr="00EF4355">
        <w:rPr>
          <w:rFonts w:ascii="Times New Roman" w:hAnsi="Times New Roman" w:cs="Times New Roman"/>
          <w:sz w:val="24"/>
          <w:szCs w:val="24"/>
          <w:lang w:val="sr-Cyrl-RS"/>
        </w:rPr>
        <w:t>два акцио</w:t>
      </w:r>
      <w:r w:rsidRPr="00EF4355">
        <w:rPr>
          <w:rFonts w:ascii="Times New Roman" w:hAnsi="Times New Roman" w:cs="Times New Roman"/>
          <w:sz w:val="24"/>
          <w:szCs w:val="24"/>
          <w:lang w:val="sr-Cyrl-RS"/>
        </w:rPr>
        <w:t>на плана - Народне банке Србије</w:t>
      </w:r>
      <w:r w:rsidR="003731A5" w:rsidRPr="00EF4355">
        <w:rPr>
          <w:rFonts w:ascii="Times New Roman" w:hAnsi="Times New Roman" w:cs="Times New Roman"/>
          <w:sz w:val="24"/>
          <w:szCs w:val="24"/>
          <w:lang w:val="sr-Cyrl-RS"/>
        </w:rPr>
        <w:t xml:space="preserve"> и Владе Републике Србије. </w:t>
      </w:r>
      <w:r w:rsidRPr="00EF4355">
        <w:rPr>
          <w:rFonts w:ascii="Times New Roman" w:hAnsi="Times New Roman" w:cs="Times New Roman"/>
          <w:sz w:val="24"/>
          <w:szCs w:val="24"/>
          <w:lang w:val="sr-Cyrl-RS"/>
        </w:rPr>
        <w:t>Т</w:t>
      </w:r>
      <w:r>
        <w:rPr>
          <w:rFonts w:ascii="Times New Roman" w:hAnsi="Times New Roman" w:cs="Times New Roman"/>
          <w:sz w:val="24"/>
          <w:szCs w:val="24"/>
          <w:lang w:val="sr-Cyrl-RS"/>
        </w:rPr>
        <w:t xml:space="preserve">акође, Влада Републике Србије је  формирала радну групу </w:t>
      </w:r>
      <w:r w:rsidR="003731A5" w:rsidRPr="003731A5">
        <w:rPr>
          <w:rFonts w:ascii="Times New Roman" w:hAnsi="Times New Roman" w:cs="Times New Roman"/>
          <w:sz w:val="24"/>
          <w:szCs w:val="24"/>
          <w:lang w:val="sr-Cyrl-RS"/>
        </w:rPr>
        <w:t xml:space="preserve">коју чине представници свих релевантних институција </w:t>
      </w:r>
      <w:r>
        <w:rPr>
          <w:rFonts w:ascii="Times New Roman" w:hAnsi="Times New Roman" w:cs="Times New Roman"/>
          <w:sz w:val="24"/>
          <w:szCs w:val="24"/>
          <w:lang w:val="sr-Cyrl-RS"/>
        </w:rPr>
        <w:t>(Министарство финасија, Министарств</w:t>
      </w:r>
      <w:r w:rsidR="00B27EE8">
        <w:rPr>
          <w:rFonts w:ascii="Times New Roman" w:hAnsi="Times New Roman" w:cs="Times New Roman"/>
          <w:sz w:val="24"/>
          <w:szCs w:val="24"/>
          <w:lang w:val="sr-Cyrl-RS"/>
        </w:rPr>
        <w:t>о правде,</w:t>
      </w:r>
      <w:r>
        <w:rPr>
          <w:rFonts w:ascii="Times New Roman" w:hAnsi="Times New Roman" w:cs="Times New Roman"/>
          <w:sz w:val="24"/>
          <w:szCs w:val="24"/>
          <w:lang w:val="sr-Cyrl-RS"/>
        </w:rPr>
        <w:t xml:space="preserve"> Народна банак Србије, Агенција за осигурање депозита, Министарство грађевинарства, саобраћаја и инфраструктуре, Републички геодетски завод и Агенција за лиценцирање стечајних управника) ради вршења</w:t>
      </w:r>
      <w:r w:rsidR="003731A5" w:rsidRPr="003731A5">
        <w:rPr>
          <w:rFonts w:ascii="Times New Roman" w:hAnsi="Times New Roman" w:cs="Times New Roman"/>
          <w:sz w:val="24"/>
          <w:szCs w:val="24"/>
          <w:lang w:val="sr-Cyrl-RS"/>
        </w:rPr>
        <w:t xml:space="preserve"> надзор над спровођењем Стратегије и утврђује проблеме које током спровођења треба решавати. </w:t>
      </w:r>
    </w:p>
    <w:p w:rsidR="003731A5" w:rsidRDefault="006604EB" w:rsidP="00254325">
      <w:pPr>
        <w:spacing w:line="360" w:lineRule="auto"/>
        <w:ind w:left="-15" w:right="108"/>
        <w:jc w:val="both"/>
        <w:rPr>
          <w:rFonts w:ascii="Times New Roman" w:hAnsi="Times New Roman" w:cs="Times New Roman"/>
          <w:sz w:val="24"/>
          <w:szCs w:val="24"/>
          <w:lang w:val="sr-Cyrl-RS"/>
        </w:rPr>
      </w:pPr>
      <w:r w:rsidRPr="00FD26D9">
        <w:rPr>
          <w:rFonts w:ascii="Times New Roman" w:hAnsi="Times New Roman" w:cs="Times New Roman"/>
          <w:sz w:val="24"/>
          <w:szCs w:val="24"/>
          <w:lang w:val="sr-Cyrl-RS"/>
        </w:rPr>
        <w:t xml:space="preserve">Високо учешће </w:t>
      </w:r>
      <w:r w:rsidR="00FD26D9" w:rsidRPr="00FD26D9">
        <w:rPr>
          <w:rFonts w:ascii="Times New Roman" w:hAnsi="Times New Roman" w:cs="Times New Roman"/>
          <w:sz w:val="24"/>
          <w:szCs w:val="24"/>
          <w:lang w:val="sr-Cyrl-RS"/>
        </w:rPr>
        <w:t>пробл</w:t>
      </w:r>
      <w:r w:rsidR="00EF4355">
        <w:rPr>
          <w:rFonts w:ascii="Times New Roman" w:hAnsi="Times New Roman" w:cs="Times New Roman"/>
          <w:sz w:val="24"/>
          <w:szCs w:val="24"/>
          <w:lang w:val="sr-Cyrl-RS"/>
        </w:rPr>
        <w:t>ематичних кредита у привреди дов</w:t>
      </w:r>
      <w:r w:rsidR="00FD26D9" w:rsidRPr="00FD26D9">
        <w:rPr>
          <w:rFonts w:ascii="Times New Roman" w:hAnsi="Times New Roman" w:cs="Times New Roman"/>
          <w:sz w:val="24"/>
          <w:szCs w:val="24"/>
          <w:lang w:val="sr-Cyrl-RS"/>
        </w:rPr>
        <w:t>оди до негативног утицаја</w:t>
      </w:r>
      <w:r w:rsidR="00FD26D9">
        <w:rPr>
          <w:rFonts w:ascii="Times New Roman" w:hAnsi="Times New Roman" w:cs="Times New Roman"/>
          <w:b/>
          <w:sz w:val="24"/>
          <w:szCs w:val="24"/>
          <w:lang w:val="sr-Cyrl-RS"/>
        </w:rPr>
        <w:t xml:space="preserve"> </w:t>
      </w:r>
      <w:r w:rsidR="003731A5" w:rsidRPr="003731A5">
        <w:rPr>
          <w:rFonts w:ascii="Times New Roman" w:hAnsi="Times New Roman" w:cs="Times New Roman"/>
          <w:sz w:val="24"/>
          <w:szCs w:val="24"/>
          <w:lang w:val="sr-Cyrl-RS"/>
        </w:rPr>
        <w:t xml:space="preserve">на кредитну активност банака, а самим тим и на привредну активност, пре свега због смањења доступности потенцијалних извора финансирања како за привредна друштва тако и за становништво, </w:t>
      </w:r>
      <w:r w:rsidR="00FD26D9">
        <w:rPr>
          <w:rFonts w:ascii="Times New Roman" w:hAnsi="Times New Roman" w:cs="Times New Roman"/>
          <w:sz w:val="24"/>
          <w:szCs w:val="24"/>
          <w:lang w:val="sr-Cyrl-RS"/>
        </w:rPr>
        <w:t xml:space="preserve">а што даље </w:t>
      </w:r>
      <w:r w:rsidR="003731A5" w:rsidRPr="003731A5">
        <w:rPr>
          <w:rFonts w:ascii="Times New Roman" w:hAnsi="Times New Roman" w:cs="Times New Roman"/>
          <w:sz w:val="24"/>
          <w:szCs w:val="24"/>
          <w:lang w:val="sr-Cyrl-RS"/>
        </w:rPr>
        <w:t xml:space="preserve">доводи до дисторзије у алокацији кредита, неповерења у финансијска тржишта, итд. Државе са високим учешћем проблематичних кредита, могу том проблему приступити тако што активно делују у правцу смањивања постојећег нивоа проблематичних кредита (путем охрабривања отписивања таквих кредита, преноса таквих потраживања на ентитете ван банкарског система, или усвајањем мера којима се омогућава брже и ефикасније намирење). Поред активног деловања, други потенцијални узрок смањења учешћа проблематичних кредита је кредитна експанзија. </w:t>
      </w:r>
    </w:p>
    <w:p w:rsidR="00FD26D9" w:rsidRDefault="00FD26D9" w:rsidP="00254325">
      <w:pPr>
        <w:spacing w:line="360" w:lineRule="auto"/>
        <w:ind w:left="-15"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Циљ Стратегије је обезбеђивање подстицаја и уклањање препрека идентификованих у систему које спречавају правовремено решавање проблематичних кредита и успо</w:t>
      </w:r>
      <w:r w:rsidR="00EF4355">
        <w:rPr>
          <w:rFonts w:ascii="Times New Roman" w:hAnsi="Times New Roman" w:cs="Times New Roman"/>
          <w:sz w:val="24"/>
          <w:szCs w:val="24"/>
          <w:lang w:val="sr-Cyrl-RS"/>
        </w:rPr>
        <w:t>стављање система који ће</w:t>
      </w:r>
      <w:r>
        <w:rPr>
          <w:rFonts w:ascii="Times New Roman" w:hAnsi="Times New Roman" w:cs="Times New Roman"/>
          <w:sz w:val="24"/>
          <w:szCs w:val="24"/>
          <w:lang w:val="sr-Cyrl-RS"/>
        </w:rPr>
        <w:t xml:space="preserve"> спречити акумулацију проблематичних кредита до нивоа који може имати негативне ефекте на кредитну активност угрожавајући економски раст</w:t>
      </w:r>
      <w:r w:rsidR="00AE0769">
        <w:rPr>
          <w:rFonts w:ascii="Times New Roman" w:hAnsi="Times New Roman" w:cs="Times New Roman"/>
          <w:sz w:val="24"/>
          <w:szCs w:val="24"/>
          <w:lang w:val="sr-Cyrl-RS"/>
        </w:rPr>
        <w:t xml:space="preserve">. Како би се остварио основни циљ, идентификовано је неколико кључних области у оквиру којих је потребно унапредити регулаторни оквир, изградњу капацитета и/или промену прописа и које поред структурних реформи, везаних пре </w:t>
      </w:r>
      <w:r w:rsidR="00AE0769">
        <w:rPr>
          <w:rFonts w:ascii="Times New Roman" w:hAnsi="Times New Roman" w:cs="Times New Roman"/>
          <w:sz w:val="24"/>
          <w:szCs w:val="24"/>
          <w:lang w:val="sr-Cyrl-RS"/>
        </w:rPr>
        <w:lastRenderedPageBreak/>
        <w:t>свега за решавање питања</w:t>
      </w:r>
      <w:r w:rsidR="00BE7BB9">
        <w:rPr>
          <w:rFonts w:ascii="Times New Roman" w:hAnsi="Times New Roman" w:cs="Times New Roman"/>
          <w:sz w:val="24"/>
          <w:szCs w:val="24"/>
          <w:lang w:val="sr-Cyrl-RS"/>
        </w:rPr>
        <w:t xml:space="preserve"> државних предузећа у реструктурирању, односно у стечају, обухватају и:</w:t>
      </w:r>
    </w:p>
    <w:p w:rsidR="00BE7BB9" w:rsidRDefault="00BE7BB9" w:rsidP="00254325">
      <w:pPr>
        <w:pStyle w:val="ListParagraph"/>
        <w:numPr>
          <w:ilvl w:val="0"/>
          <w:numId w:val="6"/>
        </w:num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Унапређење капацитета банака за решавање проблематичних кредита;</w:t>
      </w:r>
    </w:p>
    <w:p w:rsidR="00BE7BB9" w:rsidRDefault="00BE7BB9" w:rsidP="00254325">
      <w:pPr>
        <w:pStyle w:val="ListParagraph"/>
        <w:numPr>
          <w:ilvl w:val="0"/>
          <w:numId w:val="6"/>
        </w:num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Омогућавање услова за развој тржишта проблематичних кредита;</w:t>
      </w:r>
    </w:p>
    <w:p w:rsidR="00BE7BB9" w:rsidRDefault="00BE7BB9" w:rsidP="00254325">
      <w:pPr>
        <w:pStyle w:val="ListParagraph"/>
        <w:numPr>
          <w:ilvl w:val="0"/>
          <w:numId w:val="6"/>
        </w:num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Побољшање и подстицање вансудског реструктурирања дуга;</w:t>
      </w:r>
    </w:p>
    <w:p w:rsidR="00BE7BB9" w:rsidRDefault="00BE7BB9" w:rsidP="00254325">
      <w:pPr>
        <w:pStyle w:val="ListParagraph"/>
        <w:numPr>
          <w:ilvl w:val="0"/>
          <w:numId w:val="6"/>
        </w:num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Унапређење оквира за судско решавање дугова и хипотека.</w:t>
      </w:r>
    </w:p>
    <w:p w:rsidR="00BE7BB9" w:rsidRDefault="00BE7BB9" w:rsidP="00254325">
      <w:pPr>
        <w:pStyle w:val="ListParagraph"/>
        <w:spacing w:line="360" w:lineRule="auto"/>
        <w:ind w:left="705" w:right="108"/>
        <w:jc w:val="both"/>
        <w:rPr>
          <w:rFonts w:ascii="Times New Roman" w:hAnsi="Times New Roman" w:cs="Times New Roman"/>
          <w:sz w:val="24"/>
          <w:szCs w:val="24"/>
          <w:lang w:val="sr-Cyrl-RS"/>
        </w:rPr>
      </w:pPr>
    </w:p>
    <w:p w:rsidR="00E77D97" w:rsidRDefault="00E77D97" w:rsidP="00254325">
      <w:p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оквиру дела Стратегије који се бави унапређењем оквира за судско решавање дугова и хипотека, </w:t>
      </w:r>
      <w:r w:rsidR="00EF4355">
        <w:rPr>
          <w:rFonts w:ascii="Times New Roman" w:hAnsi="Times New Roman" w:cs="Times New Roman"/>
          <w:sz w:val="24"/>
          <w:szCs w:val="24"/>
          <w:lang w:val="sr-Cyrl-RS"/>
        </w:rPr>
        <w:t xml:space="preserve">између осталог </w:t>
      </w:r>
      <w:r>
        <w:rPr>
          <w:rFonts w:ascii="Times New Roman" w:hAnsi="Times New Roman" w:cs="Times New Roman"/>
          <w:sz w:val="24"/>
          <w:szCs w:val="24"/>
          <w:lang w:val="sr-Cyrl-RS"/>
        </w:rPr>
        <w:t>предвиђено је доношење Закона о изменама и допунама Закона о стечају, а све са циљем побољшања статуса разлучних поверилаца како би се увећало намирење и убрзала продаја имовине стечајних дужника, а тиме и скратило трај</w:t>
      </w:r>
      <w:r w:rsidR="000C3EAC">
        <w:rPr>
          <w:rFonts w:ascii="Times New Roman" w:hAnsi="Times New Roman" w:cs="Times New Roman"/>
          <w:sz w:val="24"/>
          <w:szCs w:val="24"/>
          <w:lang w:val="sr-Cyrl-RS"/>
        </w:rPr>
        <w:t>ање просечног периода намирења.</w:t>
      </w:r>
    </w:p>
    <w:p w:rsidR="00EF4355" w:rsidRDefault="00313005" w:rsidP="00254325">
      <w:p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Пренос (продаја) потраживања је једна од мера која би утицала на смањење</w:t>
      </w:r>
      <w:r w:rsidR="00E77D97">
        <w:rPr>
          <w:rFonts w:ascii="Times New Roman" w:hAnsi="Times New Roman" w:cs="Times New Roman"/>
          <w:sz w:val="24"/>
          <w:szCs w:val="24"/>
          <w:lang w:val="sr-Cyrl-RS"/>
        </w:rPr>
        <w:t xml:space="preserve"> </w:t>
      </w:r>
      <w:r w:rsidR="000C3EAC">
        <w:rPr>
          <w:rFonts w:ascii="Times New Roman" w:hAnsi="Times New Roman" w:cs="Times New Roman"/>
          <w:sz w:val="24"/>
          <w:szCs w:val="24"/>
          <w:lang w:val="sr-Cyrl-RS"/>
        </w:rPr>
        <w:t xml:space="preserve">броја </w:t>
      </w:r>
      <w:r>
        <w:rPr>
          <w:rFonts w:ascii="Times New Roman" w:hAnsi="Times New Roman" w:cs="Times New Roman"/>
          <w:sz w:val="24"/>
          <w:szCs w:val="24"/>
          <w:lang w:val="sr-Cyrl-RS"/>
        </w:rPr>
        <w:t>проблематичних кредита.</w:t>
      </w:r>
      <w:r w:rsidR="00D91AD4">
        <w:rPr>
          <w:rFonts w:ascii="Times New Roman" w:hAnsi="Times New Roman" w:cs="Times New Roman"/>
          <w:sz w:val="24"/>
          <w:szCs w:val="24"/>
          <w:lang w:val="sr-Cyrl-RS"/>
        </w:rPr>
        <w:t xml:space="preserve"> </w:t>
      </w:r>
      <w:r w:rsidR="00D91AD4" w:rsidRPr="00D91AD4">
        <w:rPr>
          <w:rFonts w:ascii="Times New Roman" w:hAnsi="Times New Roman" w:cs="Times New Roman"/>
          <w:sz w:val="24"/>
          <w:szCs w:val="24"/>
          <w:lang w:val="sr-Cyrl-RS"/>
        </w:rPr>
        <w:t xml:space="preserve">Приметан је пораст броја и обима трансакција на тржишту проблематичних кредита. </w:t>
      </w:r>
    </w:p>
    <w:p w:rsidR="00A0664C" w:rsidRDefault="00EF4355" w:rsidP="00254325">
      <w:pPr>
        <w:spacing w:line="360" w:lineRule="auto"/>
        <w:ind w:right="1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Повериоци се све чешће одлучују да своја потраживања отуђе, </w:t>
      </w:r>
      <w:r w:rsidR="00A0664C">
        <w:rPr>
          <w:rFonts w:ascii="Times New Roman" w:hAnsi="Times New Roman" w:cs="Times New Roman"/>
          <w:sz w:val="24"/>
          <w:szCs w:val="24"/>
          <w:lang w:val="sr-Cyrl-RS"/>
        </w:rPr>
        <w:t>а што доводи до све учесталије појаве преноса потраживања према стечајним дужницима.</w:t>
      </w:r>
    </w:p>
    <w:p w:rsidR="00220269" w:rsidRDefault="00220269" w:rsidP="00254325">
      <w:pPr>
        <w:spacing w:line="360" w:lineRule="auto"/>
        <w:jc w:val="both"/>
        <w:rPr>
          <w:rFonts w:ascii="Times New Roman" w:hAnsi="Times New Roman" w:cs="Times New Roman"/>
          <w:sz w:val="24"/>
          <w:szCs w:val="24"/>
          <w:lang w:val="sr-Cyrl-CS"/>
        </w:rPr>
      </w:pPr>
      <w:r>
        <w:rPr>
          <w:rFonts w:ascii="Times New Roman" w:eastAsia="Times New Roman" w:hAnsi="Times New Roman" w:cs="Times New Roman"/>
          <w:iCs/>
          <w:sz w:val="24"/>
          <w:szCs w:val="24"/>
          <w:lang w:val="sr-Cyrl-RS"/>
        </w:rPr>
        <w:t xml:space="preserve">Чланом 436. Закона о облигационим односима </w:t>
      </w:r>
      <w:r w:rsidR="001451B7" w:rsidRPr="00220269">
        <w:rPr>
          <w:rFonts w:ascii="Times New Roman" w:eastAsia="Times New Roman" w:hAnsi="Times New Roman" w:cs="Times New Roman"/>
          <w:iCs/>
          <w:sz w:val="24"/>
          <w:szCs w:val="24"/>
        </w:rPr>
        <w:t>("</w:t>
      </w:r>
      <w:r>
        <w:rPr>
          <w:rFonts w:ascii="Times New Roman" w:eastAsia="Times New Roman" w:hAnsi="Times New Roman" w:cs="Times New Roman"/>
          <w:iCs/>
          <w:sz w:val="24"/>
          <w:szCs w:val="24"/>
          <w:lang w:val="sr-Cyrl-RS"/>
        </w:rPr>
        <w:t>Сл.лист СФРЈ</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бр</w:t>
      </w:r>
      <w:r>
        <w:rPr>
          <w:rFonts w:ascii="Times New Roman" w:eastAsia="Times New Roman" w:hAnsi="Times New Roman" w:cs="Times New Roman"/>
          <w:iCs/>
          <w:sz w:val="24"/>
          <w:szCs w:val="24"/>
        </w:rPr>
        <w:t xml:space="preserve">. 29/78, 39/85, 45/89 - </w:t>
      </w:r>
      <w:r>
        <w:rPr>
          <w:rFonts w:ascii="Times New Roman" w:eastAsia="Times New Roman" w:hAnsi="Times New Roman" w:cs="Times New Roman"/>
          <w:iCs/>
          <w:sz w:val="24"/>
          <w:szCs w:val="24"/>
          <w:lang w:val="sr-Cyrl-RS"/>
        </w:rPr>
        <w:t>одлука</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УСЈ</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и</w:t>
      </w:r>
      <w:r>
        <w:rPr>
          <w:rFonts w:ascii="Times New Roman" w:eastAsia="Times New Roman" w:hAnsi="Times New Roman" w:cs="Times New Roman"/>
          <w:iCs/>
          <w:sz w:val="24"/>
          <w:szCs w:val="24"/>
        </w:rPr>
        <w:t xml:space="preserve"> 57/89, "</w:t>
      </w:r>
      <w:r>
        <w:rPr>
          <w:rFonts w:ascii="Times New Roman" w:eastAsia="Times New Roman" w:hAnsi="Times New Roman" w:cs="Times New Roman"/>
          <w:iCs/>
          <w:sz w:val="24"/>
          <w:szCs w:val="24"/>
          <w:lang w:val="sr-Cyrl-RS"/>
        </w:rPr>
        <w:t>Сл</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лист</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СРЈ</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бр</w:t>
      </w:r>
      <w:r w:rsidR="001451B7" w:rsidRPr="00220269">
        <w:rPr>
          <w:rFonts w:ascii="Times New Roman" w:eastAsia="Times New Roman" w:hAnsi="Times New Roman" w:cs="Times New Roman"/>
          <w:iCs/>
          <w:sz w:val="24"/>
          <w:szCs w:val="24"/>
        </w:rPr>
        <w:t xml:space="preserve">. 31/93 </w:t>
      </w:r>
      <w:r>
        <w:rPr>
          <w:rFonts w:ascii="Times New Roman" w:eastAsia="Times New Roman" w:hAnsi="Times New Roman" w:cs="Times New Roman"/>
          <w:iCs/>
          <w:sz w:val="24"/>
          <w:szCs w:val="24"/>
          <w:lang w:val="sr-Cyrl-RS"/>
        </w:rPr>
        <w:t>и</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Сл</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лист</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СЦГ</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бр</w:t>
      </w:r>
      <w:r w:rsidR="001451B7" w:rsidRPr="00220269">
        <w:rPr>
          <w:rFonts w:ascii="Times New Roman" w:eastAsia="Times New Roman" w:hAnsi="Times New Roman" w:cs="Times New Roman"/>
          <w:iCs/>
          <w:sz w:val="24"/>
          <w:szCs w:val="24"/>
        </w:rPr>
        <w:t xml:space="preserve">. 1/2003 </w:t>
      </w:r>
      <w:r>
        <w:rPr>
          <w:rFonts w:ascii="Times New Roman" w:eastAsia="Times New Roman" w:hAnsi="Times New Roman" w:cs="Times New Roman"/>
          <w:iCs/>
          <w:sz w:val="24"/>
          <w:szCs w:val="24"/>
        </w:rPr>
        <w:t>–</w:t>
      </w:r>
      <w:r w:rsidR="001451B7" w:rsidRPr="0022026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Уставна повеља</w:t>
      </w:r>
      <w:r w:rsidR="001451B7" w:rsidRPr="00220269">
        <w:rPr>
          <w:rFonts w:ascii="Times New Roman" w:eastAsia="Times New Roman" w:hAnsi="Times New Roman" w:cs="Times New Roman"/>
          <w:iCs/>
          <w:sz w:val="24"/>
          <w:szCs w:val="24"/>
        </w:rPr>
        <w:t>)</w:t>
      </w:r>
      <w:r>
        <w:rPr>
          <w:rFonts w:ascii="Times New Roman" w:eastAsia="Times New Roman" w:hAnsi="Times New Roman" w:cs="Times New Roman"/>
          <w:iCs/>
          <w:sz w:val="24"/>
          <w:szCs w:val="24"/>
          <w:lang w:val="sr-Cyrl-RS"/>
        </w:rPr>
        <w:t xml:space="preserve"> </w:t>
      </w:r>
      <w:r w:rsidRPr="00220269">
        <w:rPr>
          <w:rFonts w:ascii="Times New Roman" w:eastAsia="Times New Roman" w:hAnsi="Times New Roman" w:cs="Times New Roman"/>
          <w:iCs/>
          <w:sz w:val="24"/>
          <w:szCs w:val="24"/>
          <w:lang w:val="sr-Cyrl-RS"/>
        </w:rPr>
        <w:t>прописано је да</w:t>
      </w:r>
      <w:r w:rsidRPr="00220269">
        <w:rPr>
          <w:rFonts w:ascii="Times New Roman" w:hAnsi="Times New Roman" w:cs="Times New Roman"/>
          <w:sz w:val="24"/>
          <w:szCs w:val="24"/>
          <w:lang w:val="sr-Cyrl-CS"/>
        </w:rPr>
        <w:t xml:space="preserve"> поверилац може уговором закљученим са трећим лицем пренети на овога своје потраживање, изузев оног чији је пренос забрањен законом или које је везано за личност повериоца или које се по својој природи противи преношењу на другога. Такође, прописан</w:t>
      </w:r>
      <w:r w:rsidR="00A0664C">
        <w:rPr>
          <w:rFonts w:ascii="Times New Roman" w:hAnsi="Times New Roman" w:cs="Times New Roman"/>
          <w:sz w:val="24"/>
          <w:szCs w:val="24"/>
          <w:lang w:val="sr-Cyrl-CS"/>
        </w:rPr>
        <w:t xml:space="preserve">о је да уговор о уступању нема </w:t>
      </w:r>
      <w:r w:rsidRPr="00220269">
        <w:rPr>
          <w:rFonts w:ascii="Times New Roman" w:hAnsi="Times New Roman" w:cs="Times New Roman"/>
          <w:sz w:val="24"/>
          <w:szCs w:val="24"/>
          <w:lang w:val="sr-Cyrl-CS"/>
        </w:rPr>
        <w:t>дејство према дужнику, ако су он и поверилац уговорили да овај неће моћи пренети потраживања на другога или да га неће моћи пренети без дужниковог пристанка.</w:t>
      </w:r>
    </w:p>
    <w:p w:rsidR="00192707" w:rsidRPr="00DB48C3" w:rsidRDefault="00192707" w:rsidP="00254325">
      <w:pPr>
        <w:spacing w:line="360" w:lineRule="auto"/>
        <w:jc w:val="both"/>
        <w:rPr>
          <w:lang w:val="sr-Cyrl-CS"/>
        </w:rPr>
      </w:pPr>
      <w:r>
        <w:rPr>
          <w:rFonts w:ascii="Times New Roman" w:hAnsi="Times New Roman" w:cs="Times New Roman"/>
          <w:sz w:val="24"/>
          <w:szCs w:val="24"/>
          <w:lang w:val="sr-Cyrl-CS"/>
        </w:rPr>
        <w:t>Чланом 437. истог закона, сп</w:t>
      </w:r>
      <w:r w:rsidR="00A0664C">
        <w:rPr>
          <w:rFonts w:ascii="Times New Roman" w:hAnsi="Times New Roman" w:cs="Times New Roman"/>
          <w:sz w:val="24"/>
          <w:szCs w:val="24"/>
          <w:lang w:val="sr-Cyrl-CS"/>
        </w:rPr>
        <w:t>о</w:t>
      </w:r>
      <w:r>
        <w:rPr>
          <w:rFonts w:ascii="Times New Roman" w:hAnsi="Times New Roman" w:cs="Times New Roman"/>
          <w:sz w:val="24"/>
          <w:szCs w:val="24"/>
          <w:lang w:val="sr-Cyrl-CS"/>
        </w:rPr>
        <w:t>редна права, прописано је да са потраживањем прелазе на пријемника споредна права, као што су права првенствене наплате, хипотека, залога, права из уговора са јемцем, права на камату, уговорену казну итд.</w:t>
      </w:r>
    </w:p>
    <w:p w:rsidR="00220269" w:rsidRPr="00192707" w:rsidRDefault="00220269" w:rsidP="00254325">
      <w:pPr>
        <w:spacing w:line="360" w:lineRule="auto"/>
        <w:jc w:val="both"/>
        <w:rPr>
          <w:rFonts w:ascii="Times New Roman" w:hAnsi="Times New Roman" w:cs="Times New Roman"/>
          <w:sz w:val="24"/>
          <w:szCs w:val="24"/>
          <w:lang w:val="sr-Cyrl-CS"/>
        </w:rPr>
      </w:pPr>
      <w:r w:rsidRPr="00192707">
        <w:rPr>
          <w:rFonts w:ascii="Times New Roman" w:hAnsi="Times New Roman" w:cs="Times New Roman"/>
          <w:sz w:val="24"/>
          <w:szCs w:val="24"/>
          <w:lang w:val="sr-Cyrl-CS"/>
        </w:rPr>
        <w:t xml:space="preserve">Чланом 438. </w:t>
      </w:r>
      <w:r w:rsidR="00192707" w:rsidRPr="00192707">
        <w:rPr>
          <w:rFonts w:ascii="Times New Roman" w:hAnsi="Times New Roman" w:cs="Times New Roman"/>
          <w:sz w:val="24"/>
          <w:szCs w:val="24"/>
          <w:lang w:val="sr-Cyrl-CS"/>
        </w:rPr>
        <w:t>Закона о облигационим односима</w:t>
      </w:r>
      <w:r w:rsidRPr="00192707">
        <w:rPr>
          <w:rFonts w:ascii="Times New Roman" w:hAnsi="Times New Roman" w:cs="Times New Roman"/>
          <w:sz w:val="24"/>
          <w:szCs w:val="24"/>
          <w:lang w:val="sr-Cyrl-CS"/>
        </w:rPr>
        <w:t xml:space="preserve"> прописано </w:t>
      </w:r>
      <w:r w:rsidR="00192707" w:rsidRPr="00192707">
        <w:rPr>
          <w:rFonts w:ascii="Times New Roman" w:hAnsi="Times New Roman" w:cs="Times New Roman"/>
          <w:sz w:val="24"/>
          <w:szCs w:val="24"/>
          <w:lang w:val="sr-Cyrl-CS"/>
        </w:rPr>
        <w:t xml:space="preserve">је </w:t>
      </w:r>
      <w:r w:rsidRPr="00192707">
        <w:rPr>
          <w:rFonts w:ascii="Times New Roman" w:hAnsi="Times New Roman" w:cs="Times New Roman"/>
          <w:sz w:val="24"/>
          <w:szCs w:val="24"/>
          <w:lang w:val="sr-Cyrl-CS"/>
        </w:rPr>
        <w:t xml:space="preserve">да за пренос потраживања није потребан пристанак дужника али је уступилац дужан обавестити дужника о </w:t>
      </w:r>
      <w:r w:rsidRPr="00192707">
        <w:rPr>
          <w:rFonts w:ascii="Times New Roman" w:hAnsi="Times New Roman" w:cs="Times New Roman"/>
          <w:sz w:val="24"/>
          <w:szCs w:val="24"/>
          <w:lang w:val="sr-Cyrl-CS"/>
        </w:rPr>
        <w:lastRenderedPageBreak/>
        <w:t xml:space="preserve">извршеном уступању јер по ставу 2. истог члана испуњење извршено уступиоцу пре обавештења о уступању је пуноважно и ослобађа дужника обавезе, али само ако није знао за уступање, иначе обавеза остаје и он је дужан да је испуни пријемнику. </w:t>
      </w:r>
    </w:p>
    <w:p w:rsidR="00220269" w:rsidRPr="00192707" w:rsidRDefault="00192707" w:rsidP="00254325">
      <w:pPr>
        <w:spacing w:line="360" w:lineRule="auto"/>
        <w:jc w:val="both"/>
        <w:rPr>
          <w:rFonts w:ascii="Times New Roman" w:hAnsi="Times New Roman" w:cs="Times New Roman"/>
          <w:sz w:val="24"/>
          <w:szCs w:val="24"/>
          <w:lang w:val="sr-Cyrl-CS"/>
        </w:rPr>
      </w:pPr>
      <w:r w:rsidRPr="00192707">
        <w:rPr>
          <w:rFonts w:ascii="Times New Roman" w:hAnsi="Times New Roman" w:cs="Times New Roman"/>
          <w:sz w:val="24"/>
          <w:szCs w:val="24"/>
          <w:lang w:val="sr-Cyrl-CS"/>
        </w:rPr>
        <w:t>Даље, ч</w:t>
      </w:r>
      <w:r w:rsidR="00220269" w:rsidRPr="00192707">
        <w:rPr>
          <w:rFonts w:ascii="Times New Roman" w:hAnsi="Times New Roman" w:cs="Times New Roman"/>
          <w:sz w:val="24"/>
          <w:szCs w:val="24"/>
          <w:lang w:val="sr-Cyrl-CS"/>
        </w:rPr>
        <w:t xml:space="preserve">ланом 440. </w:t>
      </w:r>
      <w:r w:rsidR="00A0664C">
        <w:rPr>
          <w:rFonts w:ascii="Times New Roman" w:hAnsi="Times New Roman" w:cs="Times New Roman"/>
          <w:sz w:val="24"/>
          <w:szCs w:val="24"/>
          <w:lang w:val="sr-Cyrl-CS"/>
        </w:rPr>
        <w:t>и</w:t>
      </w:r>
      <w:r w:rsidRPr="00192707">
        <w:rPr>
          <w:rFonts w:ascii="Times New Roman" w:hAnsi="Times New Roman" w:cs="Times New Roman"/>
          <w:sz w:val="24"/>
          <w:szCs w:val="24"/>
          <w:lang w:val="sr-Cyrl-CS"/>
        </w:rPr>
        <w:t>стог закона</w:t>
      </w:r>
      <w:r w:rsidR="00220269" w:rsidRPr="00192707">
        <w:rPr>
          <w:rFonts w:ascii="Times New Roman" w:hAnsi="Times New Roman" w:cs="Times New Roman"/>
          <w:sz w:val="24"/>
          <w:szCs w:val="24"/>
          <w:lang w:val="sr-Cyrl-CS"/>
        </w:rPr>
        <w:t xml:space="preserve"> прописано</w:t>
      </w:r>
      <w:r w:rsidRPr="00192707">
        <w:rPr>
          <w:rFonts w:ascii="Times New Roman" w:hAnsi="Times New Roman" w:cs="Times New Roman"/>
          <w:sz w:val="24"/>
          <w:szCs w:val="24"/>
          <w:lang w:val="sr-Cyrl-CS"/>
        </w:rPr>
        <w:t xml:space="preserve"> је</w:t>
      </w:r>
      <w:r w:rsidR="00220269" w:rsidRPr="00192707">
        <w:rPr>
          <w:rFonts w:ascii="Times New Roman" w:hAnsi="Times New Roman" w:cs="Times New Roman"/>
          <w:sz w:val="24"/>
          <w:szCs w:val="24"/>
          <w:lang w:val="sr-Cyrl-CS"/>
        </w:rPr>
        <w:t xml:space="preserve"> да пријемник има према дужнику иста права која је уступилац имао према дужнику до уступања</w:t>
      </w:r>
      <w:r w:rsidRPr="00192707">
        <w:rPr>
          <w:rFonts w:ascii="Times New Roman" w:hAnsi="Times New Roman" w:cs="Times New Roman"/>
          <w:sz w:val="24"/>
          <w:szCs w:val="24"/>
          <w:lang w:val="sr-Cyrl-CS"/>
        </w:rPr>
        <w:t>. Истим чланом прописано је</w:t>
      </w:r>
      <w:r w:rsidR="00A0664C">
        <w:rPr>
          <w:rFonts w:ascii="Times New Roman" w:hAnsi="Times New Roman" w:cs="Times New Roman"/>
          <w:sz w:val="24"/>
          <w:szCs w:val="24"/>
          <w:lang w:val="sr-Cyrl-CS"/>
        </w:rPr>
        <w:t xml:space="preserve"> </w:t>
      </w:r>
      <w:r w:rsidRPr="00192707">
        <w:rPr>
          <w:rFonts w:ascii="Times New Roman" w:hAnsi="Times New Roman" w:cs="Times New Roman"/>
          <w:sz w:val="24"/>
          <w:szCs w:val="24"/>
          <w:lang w:val="sr-Cyrl-CS"/>
        </w:rPr>
        <w:t>да</w:t>
      </w:r>
      <w:r w:rsidR="00220269" w:rsidRPr="00192707">
        <w:rPr>
          <w:rFonts w:ascii="Times New Roman" w:hAnsi="Times New Roman" w:cs="Times New Roman"/>
          <w:sz w:val="24"/>
          <w:szCs w:val="24"/>
          <w:lang w:val="sr-Cyrl-CS"/>
        </w:rPr>
        <w:t xml:space="preserve"> дужник може истаћи према пријемнику, поред приговора које има према њему, и оне приговоре које је могао истаћи уступиоцу до часа када је сазнао за уступање.</w:t>
      </w:r>
    </w:p>
    <w:p w:rsidR="00220269" w:rsidRDefault="00220269" w:rsidP="00254325">
      <w:pPr>
        <w:spacing w:line="360" w:lineRule="auto"/>
        <w:jc w:val="both"/>
        <w:rPr>
          <w:rFonts w:ascii="Times New Roman" w:hAnsi="Times New Roman" w:cs="Times New Roman"/>
          <w:sz w:val="24"/>
          <w:szCs w:val="24"/>
          <w:lang w:val="sr-Cyrl-CS"/>
        </w:rPr>
      </w:pPr>
      <w:r w:rsidRPr="003F1E6D">
        <w:rPr>
          <w:rFonts w:ascii="Times New Roman" w:hAnsi="Times New Roman" w:cs="Times New Roman"/>
          <w:sz w:val="24"/>
          <w:szCs w:val="24"/>
          <w:lang w:val="sr-Cyrl-CS"/>
        </w:rPr>
        <w:t>Из цитираних одредби Закона о облигационим односима следи да уступилац може да уступи своја потраживања, да о томе мора да обавести дужника а пријемник има иста права која је имао уступилац према дужнику до момента уступања и да даном закључења уговора о цесији престају сва уступиочева права према дужнику и у целини пре</w:t>
      </w:r>
      <w:r w:rsidR="003F1E6D">
        <w:rPr>
          <w:rFonts w:ascii="Times New Roman" w:hAnsi="Times New Roman" w:cs="Times New Roman"/>
          <w:sz w:val="24"/>
          <w:szCs w:val="24"/>
          <w:lang w:val="sr-Cyrl-CS"/>
        </w:rPr>
        <w:t>лазе на пријемника потраживања.</w:t>
      </w:r>
    </w:p>
    <w:p w:rsidR="00134E91" w:rsidRPr="00A726E7" w:rsidRDefault="00134E91" w:rsidP="00254325">
      <w:pPr>
        <w:spacing w:line="360" w:lineRule="auto"/>
        <w:jc w:val="both"/>
        <w:rPr>
          <w:rFonts w:ascii="Times New Roman" w:hAnsi="Times New Roman" w:cs="Times New Roman"/>
          <w:sz w:val="24"/>
          <w:szCs w:val="24"/>
          <w:lang w:val="sr-Cyrl-CS"/>
        </w:rPr>
      </w:pPr>
      <w:r w:rsidRPr="00A726E7">
        <w:rPr>
          <w:rFonts w:ascii="Times New Roman" w:hAnsi="Times New Roman" w:cs="Times New Roman"/>
          <w:sz w:val="24"/>
          <w:szCs w:val="24"/>
          <w:lang w:val="sr-Cyrl-CS"/>
        </w:rPr>
        <w:t>Над дужником се, уколико се стекну законски услови, може отворити стечајни поступак. Одређени повериоци се управо због дужине стечајног поступка и велике неизвесности степена намирења и времена у коме ће до истог доћи одлуче да своја потраживања отуђе не чекајући њихову наплату, односно реализацију у стечају.</w:t>
      </w:r>
    </w:p>
    <w:p w:rsidR="00134E91" w:rsidRPr="00A726E7" w:rsidRDefault="00134E91" w:rsidP="00254325">
      <w:pPr>
        <w:spacing w:line="360" w:lineRule="auto"/>
        <w:jc w:val="both"/>
        <w:rPr>
          <w:rFonts w:ascii="Times New Roman" w:hAnsi="Times New Roman" w:cs="Times New Roman"/>
          <w:sz w:val="24"/>
          <w:szCs w:val="24"/>
          <w:lang w:val="sr-Latn-CS"/>
        </w:rPr>
      </w:pPr>
      <w:r w:rsidRPr="00A726E7">
        <w:rPr>
          <w:rFonts w:ascii="Times New Roman" w:hAnsi="Times New Roman" w:cs="Times New Roman"/>
          <w:sz w:val="24"/>
          <w:szCs w:val="24"/>
          <w:lang w:val="sr-Cyrl-CS"/>
        </w:rPr>
        <w:t>Такође, постоји могућност да поверилац и у току трајања самог стечаја отуђи своје потраживање не желећи да чека исход стечајног поступка, или из неких других разлога дође до престанка његовог својства повериоца у наведеном стечајном поступку. У зависности од фазе стечајног поступк</w:t>
      </w:r>
      <w:r w:rsidR="00A726E7" w:rsidRPr="00A726E7">
        <w:rPr>
          <w:rFonts w:ascii="Times New Roman" w:hAnsi="Times New Roman" w:cs="Times New Roman"/>
          <w:sz w:val="24"/>
          <w:szCs w:val="24"/>
          <w:lang w:val="sr-Cyrl-CS"/>
        </w:rPr>
        <w:t>а зависиће поступање стечајних органа.</w:t>
      </w:r>
    </w:p>
    <w:p w:rsidR="00A0664C" w:rsidRDefault="00A0664C"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CF0F33" w:rsidRDefault="00CF0F33" w:rsidP="00254325">
      <w:pPr>
        <w:spacing w:line="360" w:lineRule="auto"/>
        <w:jc w:val="both"/>
        <w:rPr>
          <w:rFonts w:ascii="Times New Roman" w:hAnsi="Times New Roman" w:cs="Times New Roman"/>
          <w:sz w:val="24"/>
          <w:szCs w:val="24"/>
          <w:lang w:val="sr-Cyrl-CS"/>
        </w:rPr>
      </w:pPr>
    </w:p>
    <w:p w:rsidR="00A0664C" w:rsidRPr="00CF0F33" w:rsidRDefault="00A0664C" w:rsidP="00CF0F33">
      <w:pPr>
        <w:pStyle w:val="ListParagraph"/>
        <w:spacing w:line="360" w:lineRule="auto"/>
        <w:jc w:val="center"/>
        <w:rPr>
          <w:rFonts w:ascii="Times New Roman" w:hAnsi="Times New Roman" w:cs="Times New Roman"/>
          <w:b/>
          <w:sz w:val="28"/>
          <w:szCs w:val="28"/>
          <w:lang w:val="sr-Cyrl-CS"/>
        </w:rPr>
      </w:pPr>
      <w:r w:rsidRPr="00CF0F33">
        <w:rPr>
          <w:rFonts w:ascii="Times New Roman" w:hAnsi="Times New Roman" w:cs="Times New Roman"/>
          <w:b/>
          <w:sz w:val="28"/>
          <w:szCs w:val="28"/>
          <w:lang w:val="sr-Cyrl-CS"/>
        </w:rPr>
        <w:lastRenderedPageBreak/>
        <w:t>Пренос потраживања према стечајном дужнику пре подношења пријаве потраживања</w:t>
      </w:r>
    </w:p>
    <w:p w:rsidR="00A0664C" w:rsidRDefault="00A0664C" w:rsidP="00254325">
      <w:pPr>
        <w:spacing w:line="360" w:lineRule="auto"/>
        <w:jc w:val="both"/>
        <w:rPr>
          <w:rFonts w:ascii="Times New Roman" w:hAnsi="Times New Roman" w:cs="Times New Roman"/>
          <w:sz w:val="24"/>
          <w:szCs w:val="24"/>
          <w:lang w:val="sr-Cyrl-CS"/>
        </w:rPr>
      </w:pPr>
    </w:p>
    <w:p w:rsidR="003F1E6D" w:rsidRPr="00F941A9" w:rsidRDefault="003F1E6D" w:rsidP="00254325">
      <w:pPr>
        <w:spacing w:line="360" w:lineRule="auto"/>
        <w:jc w:val="both"/>
        <w:rPr>
          <w:rFonts w:ascii="Times New Roman" w:hAnsi="Times New Roman" w:cs="Times New Roman"/>
          <w:sz w:val="24"/>
          <w:szCs w:val="24"/>
          <w:lang w:val="sr-Cyrl-CS"/>
        </w:rPr>
      </w:pPr>
      <w:r w:rsidRPr="00F941A9">
        <w:rPr>
          <w:rFonts w:ascii="Times New Roman" w:hAnsi="Times New Roman" w:cs="Times New Roman"/>
          <w:sz w:val="24"/>
          <w:szCs w:val="24"/>
          <w:lang w:val="sr-Cyrl-CS"/>
        </w:rPr>
        <w:t xml:space="preserve">Повериоци своја потраживања могу правним послом – нпр. цесијом пренети своја потраживања на трећа лица пре подношења пријаве потраживања у стечајном поступку. Тада, пријаву подноси нови поверилац уз доказе да је потраживање на њега пренето. </w:t>
      </w:r>
    </w:p>
    <w:p w:rsidR="003F1E6D" w:rsidRDefault="003F1E6D" w:rsidP="00254325">
      <w:pPr>
        <w:spacing w:line="360" w:lineRule="auto"/>
        <w:jc w:val="both"/>
        <w:rPr>
          <w:rFonts w:ascii="Times New Roman" w:hAnsi="Times New Roman" w:cs="Times New Roman"/>
          <w:sz w:val="24"/>
          <w:szCs w:val="24"/>
          <w:lang w:val="sr-Cyrl-CS"/>
        </w:rPr>
      </w:pPr>
      <w:r w:rsidRPr="00F941A9">
        <w:rPr>
          <w:rFonts w:ascii="Times New Roman" w:hAnsi="Times New Roman" w:cs="Times New Roman"/>
          <w:sz w:val="24"/>
          <w:szCs w:val="24"/>
          <w:lang w:val="sr-Cyrl-CS"/>
        </w:rPr>
        <w:t>Уколико је, пре подношења пријаве потраживања, дошло до законске суброгације повериоца стечајног дужника, нови поверилац који је ступио по самом закону у права повериоца поднеће пријаву потраживања позивајући се у истој на законску суброгацију и доказујући основ за наступање исте, јер му то заправо и даје својство и активну легитимацију за положај повериоца.</w:t>
      </w:r>
    </w:p>
    <w:p w:rsidR="00900DFC" w:rsidRDefault="00900DFC" w:rsidP="00254325">
      <w:pPr>
        <w:spacing w:line="360" w:lineRule="auto"/>
        <w:jc w:val="both"/>
        <w:rPr>
          <w:rFonts w:ascii="Times New Roman" w:hAnsi="Times New Roman" w:cs="Times New Roman"/>
          <w:sz w:val="24"/>
          <w:szCs w:val="24"/>
          <w:lang w:val="sr-Cyrl-CS"/>
        </w:rPr>
      </w:pPr>
    </w:p>
    <w:p w:rsidR="00900DFC" w:rsidRPr="00CF0F33" w:rsidRDefault="00900DFC" w:rsidP="00CF0F33">
      <w:pPr>
        <w:pStyle w:val="ListParagraph"/>
        <w:spacing w:line="360" w:lineRule="auto"/>
        <w:jc w:val="center"/>
        <w:rPr>
          <w:rFonts w:ascii="Times New Roman" w:hAnsi="Times New Roman" w:cs="Times New Roman"/>
          <w:sz w:val="28"/>
          <w:szCs w:val="28"/>
          <w:lang w:val="sr-Cyrl-CS"/>
        </w:rPr>
      </w:pPr>
      <w:r w:rsidRPr="00CF0F33">
        <w:rPr>
          <w:rFonts w:ascii="Times New Roman" w:hAnsi="Times New Roman" w:cs="Times New Roman"/>
          <w:b/>
          <w:sz w:val="28"/>
          <w:szCs w:val="28"/>
          <w:lang w:val="sr-Cyrl-CS"/>
        </w:rPr>
        <w:t>Пренос потраживања према стечајном дужнику након подношења пријаве потраживања</w:t>
      </w:r>
    </w:p>
    <w:p w:rsidR="00900DFC" w:rsidRPr="00F941A9" w:rsidRDefault="00900DFC" w:rsidP="00254325">
      <w:pPr>
        <w:spacing w:line="360" w:lineRule="auto"/>
        <w:jc w:val="both"/>
        <w:rPr>
          <w:rFonts w:ascii="Times New Roman" w:hAnsi="Times New Roman" w:cs="Times New Roman"/>
          <w:sz w:val="24"/>
          <w:szCs w:val="24"/>
          <w:lang w:val="sr-Cyrl-CS"/>
        </w:rPr>
      </w:pPr>
    </w:p>
    <w:p w:rsidR="003F1E6D" w:rsidRDefault="00C61ED0" w:rsidP="00254325">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425AA9" w:rsidRPr="000C0D33">
        <w:rPr>
          <w:rFonts w:ascii="Times New Roman" w:hAnsi="Times New Roman" w:cs="Times New Roman"/>
          <w:sz w:val="24"/>
          <w:szCs w:val="24"/>
          <w:lang w:val="sr-Cyrl-CS"/>
        </w:rPr>
        <w:t xml:space="preserve">оверилац може своје потраживање да отуђи и након </w:t>
      </w:r>
      <w:r w:rsidR="0057783D" w:rsidRPr="000C0D33">
        <w:rPr>
          <w:rFonts w:ascii="Times New Roman" w:hAnsi="Times New Roman" w:cs="Times New Roman"/>
          <w:sz w:val="24"/>
          <w:szCs w:val="24"/>
          <w:lang w:val="sr-Cyrl-CS"/>
        </w:rPr>
        <w:t xml:space="preserve">подношења пријаве </w:t>
      </w:r>
      <w:r w:rsidR="00425AA9" w:rsidRPr="000C0D33">
        <w:rPr>
          <w:rFonts w:ascii="Times New Roman" w:hAnsi="Times New Roman" w:cs="Times New Roman"/>
          <w:sz w:val="24"/>
          <w:szCs w:val="24"/>
          <w:lang w:val="sr-Cyrl-CS"/>
        </w:rPr>
        <w:t>потраживања у стечајном поступку</w:t>
      </w:r>
      <w:r w:rsidR="0057783D" w:rsidRPr="000C0D33">
        <w:rPr>
          <w:rFonts w:ascii="Times New Roman" w:hAnsi="Times New Roman" w:cs="Times New Roman"/>
          <w:sz w:val="24"/>
          <w:szCs w:val="24"/>
          <w:lang w:val="sr-Cyrl-CS"/>
        </w:rPr>
        <w:t>, а пре истека рока за подношење пријаве,</w:t>
      </w:r>
      <w:r w:rsidR="00425AA9" w:rsidRPr="000C0D33">
        <w:rPr>
          <w:rFonts w:ascii="Times New Roman" w:hAnsi="Times New Roman" w:cs="Times New Roman"/>
          <w:sz w:val="24"/>
          <w:szCs w:val="24"/>
          <w:lang w:val="sr-Cyrl-CS"/>
        </w:rPr>
        <w:t xml:space="preserve"> односно рока од 120 дана</w:t>
      </w:r>
      <w:r w:rsidR="000C0D33" w:rsidRPr="000C0D33">
        <w:rPr>
          <w:rFonts w:ascii="Times New Roman" w:hAnsi="Times New Roman" w:cs="Times New Roman"/>
          <w:sz w:val="24"/>
          <w:szCs w:val="24"/>
          <w:lang w:val="sr-Cyrl-CS"/>
        </w:rPr>
        <w:t xml:space="preserve"> од дана објављивања огласа у „Службеном гласнику Републике Србије“</w:t>
      </w:r>
      <w:r w:rsidR="00425AA9" w:rsidRPr="000C0D33">
        <w:rPr>
          <w:rFonts w:ascii="Times New Roman" w:hAnsi="Times New Roman" w:cs="Times New Roman"/>
          <w:sz w:val="24"/>
          <w:szCs w:val="24"/>
          <w:lang w:val="sr-Cyrl-CS"/>
        </w:rPr>
        <w:t xml:space="preserve"> у складу са чланом</w:t>
      </w:r>
      <w:r w:rsidR="000C0D33" w:rsidRPr="000C0D33">
        <w:rPr>
          <w:rFonts w:ascii="Times New Roman" w:hAnsi="Times New Roman" w:cs="Times New Roman"/>
          <w:sz w:val="24"/>
          <w:szCs w:val="24"/>
          <w:lang w:val="sr-Cyrl-CS"/>
        </w:rPr>
        <w:t xml:space="preserve"> 111. Закона о стечају</w:t>
      </w:r>
      <w:r w:rsidR="00425AA9" w:rsidRPr="000C0D33">
        <w:rPr>
          <w:rFonts w:ascii="Times New Roman" w:hAnsi="Times New Roman" w:cs="Times New Roman"/>
          <w:sz w:val="24"/>
          <w:szCs w:val="24"/>
          <w:lang w:val="sr-Cyrl-CS"/>
        </w:rPr>
        <w:t xml:space="preserve"> </w:t>
      </w:r>
      <w:r w:rsidR="000C0D33" w:rsidRPr="000C0D33">
        <w:rPr>
          <w:rFonts w:ascii="Times New Roman" w:hAnsi="Times New Roman" w:cs="Times New Roman"/>
          <w:sz w:val="24"/>
          <w:szCs w:val="24"/>
        </w:rPr>
        <w:t>("</w:t>
      </w:r>
      <w:r w:rsidR="000C0D33" w:rsidRPr="000C0D33">
        <w:rPr>
          <w:rFonts w:ascii="Times New Roman" w:hAnsi="Times New Roman" w:cs="Times New Roman"/>
          <w:sz w:val="24"/>
          <w:szCs w:val="24"/>
          <w:lang w:val="sr-Cyrl-RS"/>
        </w:rPr>
        <w:t>Сл.гласник РС</w:t>
      </w:r>
      <w:r w:rsidR="000C0D33" w:rsidRPr="000C0D33">
        <w:rPr>
          <w:rFonts w:ascii="Times New Roman" w:hAnsi="Times New Roman" w:cs="Times New Roman"/>
          <w:sz w:val="24"/>
          <w:szCs w:val="24"/>
        </w:rPr>
        <w:t xml:space="preserve">", </w:t>
      </w:r>
      <w:r w:rsidR="000C0D33" w:rsidRPr="000C0D33">
        <w:rPr>
          <w:rFonts w:ascii="Times New Roman" w:hAnsi="Times New Roman" w:cs="Times New Roman"/>
          <w:sz w:val="24"/>
          <w:szCs w:val="24"/>
          <w:lang w:val="sr-Cyrl-RS"/>
        </w:rPr>
        <w:t>бр</w:t>
      </w:r>
      <w:r w:rsidR="000C0D33" w:rsidRPr="000C0D33">
        <w:rPr>
          <w:rFonts w:ascii="Times New Roman" w:hAnsi="Times New Roman" w:cs="Times New Roman"/>
          <w:sz w:val="24"/>
          <w:szCs w:val="24"/>
        </w:rPr>
        <w:t xml:space="preserve">. 104/2009, 99/2011 - </w:t>
      </w:r>
      <w:r w:rsidR="000C0D33" w:rsidRPr="000C0D33">
        <w:rPr>
          <w:rFonts w:ascii="Times New Roman" w:hAnsi="Times New Roman" w:cs="Times New Roman"/>
          <w:sz w:val="24"/>
          <w:szCs w:val="24"/>
          <w:lang w:val="sr-Cyrl-RS"/>
        </w:rPr>
        <w:t>др</w:t>
      </w:r>
      <w:r w:rsidR="000C0D33" w:rsidRPr="000C0D33">
        <w:rPr>
          <w:rFonts w:ascii="Times New Roman" w:hAnsi="Times New Roman" w:cs="Times New Roman"/>
          <w:sz w:val="24"/>
          <w:szCs w:val="24"/>
        </w:rPr>
        <w:t xml:space="preserve">. </w:t>
      </w:r>
      <w:r w:rsidR="000C0D33" w:rsidRPr="000C0D33">
        <w:rPr>
          <w:rFonts w:ascii="Times New Roman" w:hAnsi="Times New Roman" w:cs="Times New Roman"/>
          <w:sz w:val="24"/>
          <w:szCs w:val="24"/>
          <w:lang w:val="sr-Cyrl-RS"/>
        </w:rPr>
        <w:t>закон</w:t>
      </w:r>
      <w:r w:rsidR="000C0D33" w:rsidRPr="000C0D33">
        <w:rPr>
          <w:rFonts w:ascii="Times New Roman" w:hAnsi="Times New Roman" w:cs="Times New Roman"/>
          <w:sz w:val="24"/>
          <w:szCs w:val="24"/>
        </w:rPr>
        <w:t xml:space="preserve">, 71/2012 - </w:t>
      </w:r>
      <w:r w:rsidR="000C0D33" w:rsidRPr="000C0D33">
        <w:rPr>
          <w:rFonts w:ascii="Times New Roman" w:hAnsi="Times New Roman" w:cs="Times New Roman"/>
          <w:sz w:val="24"/>
          <w:szCs w:val="24"/>
          <w:lang w:val="sr-Cyrl-RS"/>
        </w:rPr>
        <w:t>одлука</w:t>
      </w:r>
      <w:r w:rsidR="000C0D33" w:rsidRPr="000C0D33">
        <w:rPr>
          <w:rFonts w:ascii="Times New Roman" w:hAnsi="Times New Roman" w:cs="Times New Roman"/>
          <w:sz w:val="24"/>
          <w:szCs w:val="24"/>
        </w:rPr>
        <w:t xml:space="preserve"> </w:t>
      </w:r>
      <w:r w:rsidR="000C0D33" w:rsidRPr="000C0D33">
        <w:rPr>
          <w:rFonts w:ascii="Times New Roman" w:hAnsi="Times New Roman" w:cs="Times New Roman"/>
          <w:sz w:val="24"/>
          <w:szCs w:val="24"/>
          <w:lang w:val="sr-Cyrl-RS"/>
        </w:rPr>
        <w:t>УС</w:t>
      </w:r>
      <w:r w:rsidR="000C0D33">
        <w:rPr>
          <w:rFonts w:ascii="Times New Roman" w:hAnsi="Times New Roman" w:cs="Times New Roman"/>
          <w:sz w:val="24"/>
          <w:szCs w:val="24"/>
        </w:rPr>
        <w:t xml:space="preserve"> </w:t>
      </w:r>
      <w:r w:rsidR="000C0D33">
        <w:rPr>
          <w:rFonts w:ascii="Times New Roman" w:hAnsi="Times New Roman" w:cs="Times New Roman"/>
          <w:sz w:val="24"/>
          <w:szCs w:val="24"/>
          <w:lang w:val="sr-Cyrl-RS"/>
        </w:rPr>
        <w:t>и</w:t>
      </w:r>
      <w:r w:rsidR="000C0D33" w:rsidRPr="000C0D33">
        <w:rPr>
          <w:rFonts w:ascii="Times New Roman" w:hAnsi="Times New Roman" w:cs="Times New Roman"/>
          <w:sz w:val="24"/>
          <w:szCs w:val="24"/>
        </w:rPr>
        <w:t xml:space="preserve"> 83/2014)</w:t>
      </w:r>
      <w:r w:rsidR="000C0D33" w:rsidRPr="000C0D33">
        <w:rPr>
          <w:rFonts w:ascii="Times New Roman" w:hAnsi="Times New Roman" w:cs="Times New Roman"/>
          <w:sz w:val="24"/>
          <w:szCs w:val="24"/>
          <w:lang w:val="sr-Cyrl-RS"/>
        </w:rPr>
        <w:t>. У овом случају,</w:t>
      </w:r>
      <w:r w:rsidR="0057783D" w:rsidRPr="000C0D33">
        <w:rPr>
          <w:rFonts w:ascii="Times New Roman" w:hAnsi="Times New Roman" w:cs="Times New Roman"/>
          <w:sz w:val="24"/>
          <w:szCs w:val="24"/>
          <w:lang w:val="sr-Cyrl-CS"/>
        </w:rPr>
        <w:t xml:space="preserve"> уступилац би требало да повуче или услови своју пријаву потраживања, а нови поверилац би морао пријавити потраживање у стечају свог дужника достављајући и доказе о свом основу стицања истог. Важно је имати у виду да промена повериоца не продужава у тој ситуацији, рок за подношење пријава, односно да за пријемника не тече нови рок од 120 дана од пријема потраживања. Нови поверилац потраживање мора пријавити у року који је важио за све повериоце. </w:t>
      </w:r>
      <w:r w:rsidR="000C0D33" w:rsidRPr="000C0D33">
        <w:rPr>
          <w:rFonts w:ascii="Times New Roman" w:hAnsi="Times New Roman" w:cs="Times New Roman"/>
          <w:sz w:val="24"/>
          <w:szCs w:val="24"/>
          <w:lang w:val="sr-Cyrl-CS"/>
        </w:rPr>
        <w:t>Стечајни управник би требало да потраживање призна</w:t>
      </w:r>
      <w:r w:rsidR="0057783D" w:rsidRPr="000C0D33">
        <w:rPr>
          <w:rFonts w:ascii="Times New Roman" w:hAnsi="Times New Roman" w:cs="Times New Roman"/>
          <w:sz w:val="24"/>
          <w:szCs w:val="24"/>
          <w:lang w:val="sr-Cyrl-CS"/>
        </w:rPr>
        <w:t xml:space="preserve"> новом повериоцу (наравно уколико је исто основано и достављени су релевантни докази о уступању потраживања), а оспорити првобитном повериоцу (уколико он није и сам већ повукао </w:t>
      </w:r>
      <w:r w:rsidR="0057783D" w:rsidRPr="000C0D33">
        <w:rPr>
          <w:rFonts w:ascii="Times New Roman" w:hAnsi="Times New Roman" w:cs="Times New Roman"/>
          <w:sz w:val="24"/>
          <w:szCs w:val="24"/>
          <w:lang w:val="sr-Cyrl-CS"/>
        </w:rPr>
        <w:lastRenderedPageBreak/>
        <w:t>пријаву потраживања после извршеног уступања), јер у тренутку изјашњења о пријави подносилац исте више и није повери</w:t>
      </w:r>
      <w:r w:rsidR="007D1B4D">
        <w:rPr>
          <w:rFonts w:ascii="Times New Roman" w:hAnsi="Times New Roman" w:cs="Times New Roman"/>
          <w:sz w:val="24"/>
          <w:szCs w:val="24"/>
          <w:lang w:val="sr-Cyrl-CS"/>
        </w:rPr>
        <w:t>лац тог уступљеног потраживања.</w:t>
      </w:r>
    </w:p>
    <w:p w:rsidR="007D1B4D" w:rsidRDefault="00C61ED0" w:rsidP="00254325">
      <w:pPr>
        <w:spacing w:line="360" w:lineRule="auto"/>
        <w:jc w:val="both"/>
        <w:rPr>
          <w:rFonts w:ascii="Times New Roman" w:hAnsi="Times New Roman" w:cs="Times New Roman"/>
          <w:sz w:val="24"/>
          <w:szCs w:val="24"/>
          <w:lang w:val="sr-Cyrl-CS"/>
        </w:rPr>
      </w:pPr>
      <w:r w:rsidRPr="00C61ED0">
        <w:rPr>
          <w:rFonts w:ascii="Times New Roman" w:hAnsi="Times New Roman" w:cs="Times New Roman"/>
          <w:sz w:val="24"/>
          <w:szCs w:val="24"/>
          <w:lang w:val="sr-Cyrl-CS"/>
        </w:rPr>
        <w:t>Стечајни управник ће се изјаснити о пријављеним потраживањима поверилаца, у складу са чланом 113. став 2. Закона о стечају, утврдити основаност, обим и исплатни ред сваког потраживања и о томе сачинити листу признатих и оспорених потраживања у року од 40 дана од истека рока одређеног од стране стечајног судије за подношење пријава потраживања. По достави наведене листе стечајни судија ће исту објавити на огласној табли суда или ће на огласној табли суда истаћи обавештење, где се листа налази. Коначна листа о свим потраживањима сачиниће се на испитном рочишту. Потраживања ће се сматрати утврђеним ако нису оспорена од стране стечајног управника или од стране неког другог повериоца све до закључења испитног рочишта. Коначну листу потраживања ће усвојити стечајни судија по закључењу испитног рочишта, па ће донети и закључак о листи утврђених и оспорених потраживања.</w:t>
      </w:r>
    </w:p>
    <w:p w:rsidR="00900DFC" w:rsidRDefault="00900DFC" w:rsidP="00254325">
      <w:pPr>
        <w:spacing w:line="360" w:lineRule="auto"/>
        <w:jc w:val="both"/>
        <w:rPr>
          <w:rFonts w:ascii="Times New Roman" w:hAnsi="Times New Roman" w:cs="Times New Roman"/>
          <w:sz w:val="24"/>
          <w:szCs w:val="24"/>
          <w:lang w:val="sr-Cyrl-CS"/>
        </w:rPr>
      </w:pPr>
    </w:p>
    <w:p w:rsidR="00900DFC" w:rsidRPr="00CF0F33" w:rsidRDefault="00900DFC" w:rsidP="00CF0F33">
      <w:pPr>
        <w:pStyle w:val="ListParagraph"/>
        <w:spacing w:line="360" w:lineRule="auto"/>
        <w:jc w:val="center"/>
        <w:rPr>
          <w:rFonts w:ascii="Times New Roman" w:hAnsi="Times New Roman" w:cs="Times New Roman"/>
          <w:sz w:val="28"/>
          <w:szCs w:val="28"/>
          <w:lang w:val="sr-Cyrl-CS"/>
        </w:rPr>
      </w:pPr>
      <w:r w:rsidRPr="00CF0F33">
        <w:rPr>
          <w:rFonts w:ascii="Times New Roman" w:hAnsi="Times New Roman" w:cs="Times New Roman"/>
          <w:b/>
          <w:sz w:val="28"/>
          <w:szCs w:val="28"/>
          <w:lang w:val="sr-Cyrl-CS"/>
        </w:rPr>
        <w:t>Пренос потраживања према стечајном дужнику након доношења закључка о коначној листи потраживања</w:t>
      </w:r>
    </w:p>
    <w:p w:rsidR="00900DFC" w:rsidRDefault="00900DFC" w:rsidP="00254325">
      <w:pPr>
        <w:spacing w:line="360" w:lineRule="auto"/>
        <w:jc w:val="both"/>
        <w:rPr>
          <w:rFonts w:ascii="Times New Roman" w:hAnsi="Times New Roman" w:cs="Times New Roman"/>
          <w:sz w:val="24"/>
          <w:szCs w:val="24"/>
          <w:lang w:val="sr-Cyrl-CS"/>
        </w:rPr>
      </w:pPr>
    </w:p>
    <w:p w:rsidR="00352190" w:rsidRDefault="00C61ED0" w:rsidP="00254325">
      <w:pPr>
        <w:spacing w:line="360" w:lineRule="auto"/>
        <w:jc w:val="both"/>
        <w:rPr>
          <w:rFonts w:ascii="Times New Roman" w:hAnsi="Times New Roman" w:cs="Times New Roman"/>
          <w:sz w:val="24"/>
          <w:szCs w:val="24"/>
          <w:lang w:val="sr-Cyrl-CS"/>
        </w:rPr>
      </w:pPr>
      <w:r w:rsidRPr="00850AAD">
        <w:rPr>
          <w:rFonts w:ascii="Times New Roman" w:hAnsi="Times New Roman" w:cs="Times New Roman"/>
          <w:sz w:val="24"/>
          <w:szCs w:val="24"/>
          <w:lang w:val="sr-Cyrl-RS"/>
        </w:rPr>
        <w:t xml:space="preserve">Поверилац своје потраживање може да отуђи и у овој фази стечајног поступка, након доношење закључка о коначној листи потраживања. </w:t>
      </w:r>
      <w:r w:rsidR="00850AAD" w:rsidRPr="00850AAD">
        <w:rPr>
          <w:rFonts w:ascii="Times New Roman" w:hAnsi="Times New Roman" w:cs="Times New Roman"/>
          <w:sz w:val="24"/>
          <w:szCs w:val="24"/>
          <w:lang w:val="sr-Cyrl-RS"/>
        </w:rPr>
        <w:t>Захтев за измену закључка и листе потраживања може поднети поверилац - уступилац</w:t>
      </w:r>
      <w:r w:rsidR="00352190" w:rsidRPr="00850AAD">
        <w:rPr>
          <w:rFonts w:ascii="Times New Roman" w:hAnsi="Times New Roman" w:cs="Times New Roman"/>
          <w:sz w:val="24"/>
          <w:szCs w:val="24"/>
          <w:lang w:val="sr-Cyrl-CS"/>
        </w:rPr>
        <w:t>, тако што ће се уместо њих као нови повериоци означити повериоци којима су они уступили потраживање</w:t>
      </w:r>
      <w:r w:rsidR="00850AAD" w:rsidRPr="00850AAD">
        <w:rPr>
          <w:rFonts w:ascii="Times New Roman" w:hAnsi="Times New Roman" w:cs="Times New Roman"/>
          <w:sz w:val="24"/>
          <w:szCs w:val="24"/>
          <w:lang w:val="sr-Cyrl-CS"/>
        </w:rPr>
        <w:t>.</w:t>
      </w:r>
      <w:r w:rsidR="00352190" w:rsidRPr="00850AAD">
        <w:rPr>
          <w:rFonts w:ascii="Times New Roman" w:hAnsi="Times New Roman" w:cs="Times New Roman"/>
          <w:sz w:val="24"/>
          <w:szCs w:val="24"/>
          <w:lang w:val="sr-Cyrl-CS"/>
        </w:rPr>
        <w:t xml:space="preserve"> </w:t>
      </w:r>
      <w:r w:rsidR="00850AAD" w:rsidRPr="00850AAD">
        <w:rPr>
          <w:rFonts w:ascii="Times New Roman" w:hAnsi="Times New Roman" w:cs="Times New Roman"/>
          <w:sz w:val="24"/>
          <w:szCs w:val="24"/>
          <w:lang w:val="sr-Cyrl-CS"/>
        </w:rPr>
        <w:t>К</w:t>
      </w:r>
      <w:r w:rsidR="00352190" w:rsidRPr="00850AAD">
        <w:rPr>
          <w:rFonts w:ascii="Times New Roman" w:hAnsi="Times New Roman" w:cs="Times New Roman"/>
          <w:sz w:val="24"/>
          <w:szCs w:val="24"/>
          <w:lang w:val="sr-Cyrl-CS"/>
        </w:rPr>
        <w:t xml:space="preserve">роз судску праксу је изнето становиште да такав захтев уступиоца – повериоца који има закључак о признању потраживања треба сматрати обавештењем о извршеном преносу потраживања. По наведеном обавештењу уступиоца не може се изменити поверилац у коначној листи, већ ће ову промену повериоца, стечајни управник само имати у виду, јер од пријема обавештења неће смети да потраживање изврши првобитном повериоцу. </w:t>
      </w:r>
    </w:p>
    <w:p w:rsidR="00352190" w:rsidRPr="001C72DC" w:rsidRDefault="00A70D3E" w:rsidP="0025432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Нови поверилац, с обзиром да има правни интерес како би постао странк</w:t>
      </w:r>
      <w:r w:rsidR="00B27EE8">
        <w:rPr>
          <w:rFonts w:ascii="Times New Roman" w:hAnsi="Times New Roman" w:cs="Times New Roman"/>
          <w:sz w:val="24"/>
          <w:szCs w:val="24"/>
          <w:lang w:val="sr-Cyrl-CS"/>
        </w:rPr>
        <w:t>а у стечајном поступку, би м</w:t>
      </w:r>
      <w:r w:rsidR="00B27EE8">
        <w:rPr>
          <w:rFonts w:ascii="Times New Roman" w:hAnsi="Times New Roman" w:cs="Times New Roman"/>
          <w:sz w:val="24"/>
          <w:szCs w:val="24"/>
          <w:lang w:val="sr-Cyrl-RS"/>
        </w:rPr>
        <w:t>орао</w:t>
      </w:r>
      <w:r>
        <w:rPr>
          <w:rFonts w:ascii="Times New Roman" w:hAnsi="Times New Roman" w:cs="Times New Roman"/>
          <w:sz w:val="24"/>
          <w:szCs w:val="24"/>
          <w:lang w:val="sr-Cyrl-CS"/>
        </w:rPr>
        <w:t xml:space="preserve"> да поднесе захтев за промену промену података у погледу промене повериоца у коначној листи</w:t>
      </w:r>
      <w:r w:rsidRPr="001C72DC">
        <w:rPr>
          <w:rFonts w:ascii="Times New Roman" w:hAnsi="Times New Roman" w:cs="Times New Roman"/>
          <w:sz w:val="24"/>
          <w:szCs w:val="24"/>
          <w:lang w:val="sr-Cyrl-CS"/>
        </w:rPr>
        <w:t xml:space="preserve">. </w:t>
      </w:r>
      <w:r w:rsidR="001C72DC" w:rsidRPr="001C72DC">
        <w:rPr>
          <w:rFonts w:ascii="Times New Roman" w:hAnsi="Times New Roman" w:cs="Times New Roman"/>
          <w:sz w:val="24"/>
          <w:szCs w:val="24"/>
          <w:lang w:val="sr-Cyrl-CS"/>
        </w:rPr>
        <w:t>Стечајни органи</w:t>
      </w:r>
      <w:r w:rsidR="00123DCB" w:rsidRPr="001C72DC">
        <w:rPr>
          <w:rFonts w:ascii="Times New Roman" w:hAnsi="Times New Roman" w:cs="Times New Roman"/>
          <w:sz w:val="24"/>
          <w:szCs w:val="24"/>
          <w:lang w:val="sr-Cyrl-CS"/>
        </w:rPr>
        <w:t xml:space="preserve">, уколико нађу да су испуњени услови за </w:t>
      </w:r>
      <w:r w:rsidR="00123DCB" w:rsidRPr="001C72DC">
        <w:rPr>
          <w:rFonts w:ascii="Times New Roman" w:hAnsi="Times New Roman" w:cs="Times New Roman"/>
          <w:sz w:val="24"/>
          <w:szCs w:val="24"/>
          <w:lang w:val="sr-Cyrl-CS"/>
        </w:rPr>
        <w:lastRenderedPageBreak/>
        <w:t xml:space="preserve">промену повериоца, </w:t>
      </w:r>
      <w:r w:rsidR="001C72DC" w:rsidRPr="001C72DC">
        <w:rPr>
          <w:rFonts w:ascii="Times New Roman" w:hAnsi="Times New Roman" w:cs="Times New Roman"/>
          <w:sz w:val="24"/>
          <w:szCs w:val="24"/>
          <w:lang w:val="sr-Cyrl-CS"/>
        </w:rPr>
        <w:t>ће извршити</w:t>
      </w:r>
      <w:r w:rsidR="00123DCB" w:rsidRPr="001C72DC">
        <w:rPr>
          <w:rFonts w:ascii="Times New Roman" w:hAnsi="Times New Roman" w:cs="Times New Roman"/>
          <w:sz w:val="24"/>
          <w:szCs w:val="24"/>
          <w:lang w:val="sr-Cyrl-CS"/>
        </w:rPr>
        <w:t xml:space="preserve"> корекцију података у коначној листи променом повериоца за конкретно потраживање.</w:t>
      </w:r>
    </w:p>
    <w:p w:rsidR="00352190" w:rsidRDefault="001C72DC" w:rsidP="00254325">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Може се догодити да је потраживање првобитног повериоца</w:t>
      </w:r>
      <w:r w:rsidR="00352190" w:rsidRPr="001C72DC">
        <w:rPr>
          <w:rFonts w:ascii="Times New Roman" w:hAnsi="Times New Roman" w:cs="Times New Roman"/>
          <w:sz w:val="24"/>
          <w:szCs w:val="24"/>
          <w:lang w:val="sr-Cyrl-CS"/>
        </w:rPr>
        <w:t xml:space="preserve"> оспорено и </w:t>
      </w:r>
      <w:r>
        <w:rPr>
          <w:rFonts w:ascii="Times New Roman" w:hAnsi="Times New Roman" w:cs="Times New Roman"/>
          <w:sz w:val="24"/>
          <w:szCs w:val="24"/>
          <w:lang w:val="sr-Cyrl-CS"/>
        </w:rPr>
        <w:t xml:space="preserve">да је </w:t>
      </w:r>
      <w:r w:rsidR="00352190" w:rsidRPr="001C72DC">
        <w:rPr>
          <w:rFonts w:ascii="Times New Roman" w:hAnsi="Times New Roman" w:cs="Times New Roman"/>
          <w:sz w:val="24"/>
          <w:szCs w:val="24"/>
          <w:lang w:val="sr-Cyrl-CS"/>
        </w:rPr>
        <w:t xml:space="preserve">закључком првобитни поверилац упућен на парницу, а </w:t>
      </w:r>
      <w:r>
        <w:rPr>
          <w:rFonts w:ascii="Times New Roman" w:hAnsi="Times New Roman" w:cs="Times New Roman"/>
          <w:sz w:val="24"/>
          <w:szCs w:val="24"/>
          <w:lang w:val="sr-Cyrl-CS"/>
        </w:rPr>
        <w:t xml:space="preserve">да је </w:t>
      </w:r>
      <w:r w:rsidR="00352190" w:rsidRPr="001C72DC">
        <w:rPr>
          <w:rFonts w:ascii="Times New Roman" w:hAnsi="Times New Roman" w:cs="Times New Roman"/>
          <w:sz w:val="24"/>
          <w:szCs w:val="24"/>
          <w:lang w:val="sr-Cyrl-CS"/>
        </w:rPr>
        <w:t>он потом то спорно потраживање уступи</w:t>
      </w:r>
      <w:r>
        <w:rPr>
          <w:rFonts w:ascii="Times New Roman" w:hAnsi="Times New Roman" w:cs="Times New Roman"/>
          <w:sz w:val="24"/>
          <w:szCs w:val="24"/>
          <w:lang w:val="sr-Cyrl-CS"/>
        </w:rPr>
        <w:t>о новом повериоцу.</w:t>
      </w:r>
      <w:r w:rsidR="00352190" w:rsidRPr="001C72D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w:t>
      </w:r>
      <w:r w:rsidR="00352190" w:rsidRPr="001C72DC">
        <w:rPr>
          <w:rFonts w:ascii="Times New Roman" w:hAnsi="Times New Roman" w:cs="Times New Roman"/>
          <w:sz w:val="24"/>
          <w:szCs w:val="24"/>
          <w:lang w:val="sr-Cyrl-CS"/>
        </w:rPr>
        <w:t xml:space="preserve">арницу би морао покренути нови поверилац, уколико није већ покренута до дана уступања, уз доказе да је њему пренето потраживање из закључка којим се исто оспорава првобитном повериоцу. У тој ситуацији доказ о преносу потраживања је истовремено и доказ о активној легитимацији новог повериоца за парницу за утврђење потраживања. Проблем је у кратком року од 15 дана у коме се наведена тужба може поднети, а који тече од дана када је поверилац који је пријавио потраживање примио закључак, а који рок би морао да поштује и нови поверилац, да му тужба не би била одбачена као неблаговремена. </w:t>
      </w:r>
    </w:p>
    <w:p w:rsidR="00352190" w:rsidRPr="0029164A" w:rsidRDefault="00EE2136" w:rsidP="00254325">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Поврилац своје потраживање може пренети и </w:t>
      </w:r>
      <w:r w:rsidRPr="00EE2136">
        <w:rPr>
          <w:rFonts w:ascii="Times New Roman" w:hAnsi="Times New Roman" w:cs="Times New Roman"/>
          <w:sz w:val="24"/>
          <w:szCs w:val="24"/>
          <w:lang w:val="sr-Cyrl-CS"/>
        </w:rPr>
        <w:t>након</w:t>
      </w:r>
      <w:r w:rsidR="00352190" w:rsidRPr="00EE2136">
        <w:rPr>
          <w:rFonts w:ascii="Times New Roman" w:hAnsi="Times New Roman" w:cs="Times New Roman"/>
          <w:sz w:val="24"/>
          <w:szCs w:val="24"/>
          <w:lang w:val="sr-Cyrl-CS"/>
        </w:rPr>
        <w:t xml:space="preserve"> подношења тужбе или захтева за наставак првобитног поступка (уколико је исти био у прекиду због насту</w:t>
      </w:r>
      <w:r w:rsidRPr="00EE2136">
        <w:rPr>
          <w:rFonts w:ascii="Times New Roman" w:hAnsi="Times New Roman" w:cs="Times New Roman"/>
          <w:sz w:val="24"/>
          <w:szCs w:val="24"/>
          <w:lang w:val="sr-Cyrl-CS"/>
        </w:rPr>
        <w:t>пања правних последица стечаја).</w:t>
      </w:r>
      <w:r w:rsidRPr="0029164A">
        <w:rPr>
          <w:rFonts w:ascii="Times New Roman" w:hAnsi="Times New Roman" w:cs="Times New Roman"/>
          <w:sz w:val="24"/>
          <w:szCs w:val="24"/>
          <w:lang w:val="sr-Cyrl-CS"/>
        </w:rPr>
        <w:t xml:space="preserve"> Промена повериоца би условила промену тужиоца, али тек након сагласности </w:t>
      </w:r>
      <w:r w:rsidR="0029164A" w:rsidRPr="0029164A">
        <w:rPr>
          <w:rFonts w:ascii="Times New Roman" w:hAnsi="Times New Roman" w:cs="Times New Roman"/>
          <w:sz w:val="24"/>
          <w:szCs w:val="24"/>
          <w:lang w:val="sr-Cyrl-CS"/>
        </w:rPr>
        <w:t>ту</w:t>
      </w:r>
      <w:r w:rsidR="00B27EE8">
        <w:rPr>
          <w:rFonts w:ascii="Times New Roman" w:hAnsi="Times New Roman" w:cs="Times New Roman"/>
          <w:sz w:val="24"/>
          <w:szCs w:val="24"/>
          <w:lang w:val="sr-Cyrl-CS"/>
        </w:rPr>
        <w:t>женог, у складу са чланом 201. с</w:t>
      </w:r>
      <w:r w:rsidR="0029164A" w:rsidRPr="0029164A">
        <w:rPr>
          <w:rFonts w:ascii="Times New Roman" w:hAnsi="Times New Roman" w:cs="Times New Roman"/>
          <w:sz w:val="24"/>
          <w:szCs w:val="24"/>
          <w:lang w:val="sr-Cyrl-CS"/>
        </w:rPr>
        <w:t>тав 3 Закона о парничном поступку ("Сл. гласник РС", бр. 72/2011, 49/2013 – одлука УС, 74/2013 - одлука УС и 55/2014) који прописује да ако се тужени упустио у раправљање о главној ствари у</w:t>
      </w:r>
      <w:r w:rsidR="0029164A">
        <w:rPr>
          <w:rFonts w:ascii="Times New Roman" w:hAnsi="Times New Roman" w:cs="Times New Roman"/>
          <w:sz w:val="24"/>
          <w:szCs w:val="24"/>
          <w:lang w:val="sr-Cyrl-CS"/>
        </w:rPr>
        <w:t>место тужиоца може да ступи у п</w:t>
      </w:r>
      <w:r w:rsidR="0029164A" w:rsidRPr="0029164A">
        <w:rPr>
          <w:rFonts w:ascii="Times New Roman" w:hAnsi="Times New Roman" w:cs="Times New Roman"/>
          <w:sz w:val="24"/>
          <w:szCs w:val="24"/>
          <w:lang w:val="sr-Cyrl-CS"/>
        </w:rPr>
        <w:t>арницу нови тужилац само ако на то пристане тужени. П</w:t>
      </w:r>
      <w:r w:rsidR="00352190" w:rsidRPr="0029164A">
        <w:rPr>
          <w:rFonts w:ascii="Times New Roman" w:hAnsi="Times New Roman" w:cs="Times New Roman"/>
          <w:sz w:val="24"/>
          <w:szCs w:val="24"/>
          <w:lang w:val="sr-Cyrl-CS"/>
        </w:rPr>
        <w:t xml:space="preserve">ромена тужиоца могла </w:t>
      </w:r>
      <w:r w:rsidR="0029164A" w:rsidRPr="0029164A">
        <w:rPr>
          <w:rFonts w:ascii="Times New Roman" w:hAnsi="Times New Roman" w:cs="Times New Roman"/>
          <w:sz w:val="24"/>
          <w:szCs w:val="24"/>
          <w:lang w:val="sr-Cyrl-CS"/>
        </w:rPr>
        <w:t>би се сматрати уређењем тужбе</w:t>
      </w:r>
      <w:r w:rsidR="00352190" w:rsidRPr="0029164A">
        <w:rPr>
          <w:rFonts w:ascii="Times New Roman" w:hAnsi="Times New Roman" w:cs="Times New Roman"/>
          <w:sz w:val="24"/>
          <w:szCs w:val="24"/>
          <w:lang w:val="sr-Cyrl-CS"/>
        </w:rPr>
        <w:t xml:space="preserve">, у наведеним ситуацијама он је следбеник у правима на остварење уступљеног потраживања, па би му стога требало у овим парницама омогућити да ступањем на место тужиоца оствари своја права. </w:t>
      </w:r>
    </w:p>
    <w:p w:rsidR="00352190" w:rsidRPr="00CF0F33" w:rsidRDefault="00352190" w:rsidP="00CF0F33">
      <w:pPr>
        <w:spacing w:line="360" w:lineRule="auto"/>
        <w:jc w:val="both"/>
        <w:rPr>
          <w:rFonts w:ascii="Times New Roman" w:hAnsi="Times New Roman" w:cs="Times New Roman"/>
          <w:sz w:val="24"/>
          <w:szCs w:val="24"/>
          <w:lang w:val="sr-Cyrl-CS"/>
        </w:rPr>
      </w:pPr>
      <w:r w:rsidRPr="005E31CD">
        <w:rPr>
          <w:rFonts w:ascii="Times New Roman" w:hAnsi="Times New Roman" w:cs="Times New Roman"/>
          <w:sz w:val="24"/>
          <w:szCs w:val="24"/>
          <w:lang w:val="sr-Cyrl-CS"/>
        </w:rPr>
        <w:t>Уколи</w:t>
      </w:r>
      <w:r w:rsidR="005E31CD" w:rsidRPr="005E31CD">
        <w:rPr>
          <w:rFonts w:ascii="Times New Roman" w:hAnsi="Times New Roman" w:cs="Times New Roman"/>
          <w:sz w:val="24"/>
          <w:szCs w:val="24"/>
          <w:lang w:val="sr-Cyrl-CS"/>
        </w:rPr>
        <w:t>ко ипак изостане сагласност туж</w:t>
      </w:r>
      <w:r w:rsidRPr="005E31CD">
        <w:rPr>
          <w:rFonts w:ascii="Times New Roman" w:hAnsi="Times New Roman" w:cs="Times New Roman"/>
          <w:sz w:val="24"/>
          <w:szCs w:val="24"/>
          <w:lang w:val="sr-Cyrl-CS"/>
        </w:rPr>
        <w:t>еног</w:t>
      </w:r>
      <w:r w:rsidR="005E31CD" w:rsidRPr="005E31CD">
        <w:rPr>
          <w:rFonts w:ascii="Times New Roman" w:hAnsi="Times New Roman" w:cs="Times New Roman"/>
          <w:sz w:val="24"/>
          <w:szCs w:val="24"/>
          <w:lang w:val="sr-Cyrl-CS"/>
        </w:rPr>
        <w:t>, овде стечајног дужника,</w:t>
      </w:r>
      <w:r w:rsidRPr="005E31CD">
        <w:rPr>
          <w:rFonts w:ascii="Times New Roman" w:hAnsi="Times New Roman" w:cs="Times New Roman"/>
          <w:sz w:val="24"/>
          <w:szCs w:val="24"/>
          <w:lang w:val="sr-Cyrl-CS"/>
        </w:rPr>
        <w:t xml:space="preserve"> за промену</w:t>
      </w:r>
      <w:r w:rsidR="005E31CD" w:rsidRPr="005E31CD">
        <w:rPr>
          <w:rFonts w:ascii="Times New Roman" w:hAnsi="Times New Roman" w:cs="Times New Roman"/>
          <w:sz w:val="24"/>
          <w:szCs w:val="24"/>
          <w:lang w:val="sr-Cyrl-CS"/>
        </w:rPr>
        <w:t xml:space="preserve"> тужиоца</w:t>
      </w:r>
      <w:r w:rsidRPr="005E31CD">
        <w:rPr>
          <w:rFonts w:ascii="Times New Roman" w:hAnsi="Times New Roman" w:cs="Times New Roman"/>
          <w:sz w:val="24"/>
          <w:szCs w:val="24"/>
          <w:lang w:val="sr-Cyrl-CS"/>
        </w:rPr>
        <w:t xml:space="preserve">, процесно решење би се могло пронаћи само у одредбама члана 204. </w:t>
      </w:r>
      <w:r w:rsidR="00900DFC">
        <w:rPr>
          <w:rFonts w:ascii="Times New Roman" w:hAnsi="Times New Roman" w:cs="Times New Roman"/>
          <w:sz w:val="24"/>
          <w:szCs w:val="24"/>
          <w:lang w:val="sr-Cyrl-CS"/>
        </w:rPr>
        <w:t>Закона о парнич</w:t>
      </w:r>
      <w:r w:rsidR="005E31CD" w:rsidRPr="005E31CD">
        <w:rPr>
          <w:rFonts w:ascii="Times New Roman" w:hAnsi="Times New Roman" w:cs="Times New Roman"/>
          <w:sz w:val="24"/>
          <w:szCs w:val="24"/>
          <w:lang w:val="sr-Cyrl-CS"/>
        </w:rPr>
        <w:t>ном поступку којим је прописано да</w:t>
      </w:r>
      <w:r w:rsidRPr="005E31CD">
        <w:rPr>
          <w:rFonts w:ascii="Times New Roman" w:hAnsi="Times New Roman" w:cs="Times New Roman"/>
          <w:sz w:val="24"/>
          <w:szCs w:val="24"/>
          <w:lang w:val="sr-Cyrl-CS"/>
        </w:rPr>
        <w:t xml:space="preserve"> ако странка отуђи ствар или право о коме тече парница то не спречава да се парница међу истим странкама доврши. </w:t>
      </w:r>
      <w:r w:rsidR="005E31CD" w:rsidRPr="005E31CD">
        <w:rPr>
          <w:rFonts w:ascii="Times New Roman" w:hAnsi="Times New Roman" w:cs="Times New Roman"/>
          <w:sz w:val="24"/>
          <w:szCs w:val="24"/>
          <w:lang w:val="sr-Cyrl-CS"/>
        </w:rPr>
        <w:t xml:space="preserve">Истим чланом ставом </w:t>
      </w:r>
      <w:r w:rsidRPr="005E31CD">
        <w:rPr>
          <w:rFonts w:ascii="Times New Roman" w:hAnsi="Times New Roman" w:cs="Times New Roman"/>
          <w:sz w:val="24"/>
          <w:szCs w:val="24"/>
          <w:lang w:val="sr-Cyrl-CS"/>
        </w:rPr>
        <w:t xml:space="preserve">3. </w:t>
      </w:r>
      <w:r w:rsidR="005E31CD" w:rsidRPr="005E31CD">
        <w:rPr>
          <w:rFonts w:ascii="Times New Roman" w:hAnsi="Times New Roman" w:cs="Times New Roman"/>
          <w:sz w:val="24"/>
          <w:szCs w:val="24"/>
          <w:lang w:val="sr-Cyrl-CS"/>
        </w:rPr>
        <w:t xml:space="preserve">прописано је да </w:t>
      </w:r>
      <w:r w:rsidRPr="005E31CD">
        <w:rPr>
          <w:rFonts w:ascii="Times New Roman" w:hAnsi="Times New Roman" w:cs="Times New Roman"/>
          <w:sz w:val="24"/>
          <w:szCs w:val="24"/>
          <w:lang w:val="sr-Cyrl-CS"/>
        </w:rPr>
        <w:t xml:space="preserve">у наведеном случају пресуда има дејство и у односу на стицаоца. </w:t>
      </w:r>
      <w:r w:rsidR="005E31CD" w:rsidRPr="005E31CD">
        <w:rPr>
          <w:rFonts w:ascii="Times New Roman" w:hAnsi="Times New Roman" w:cs="Times New Roman"/>
          <w:sz w:val="24"/>
          <w:szCs w:val="24"/>
          <w:lang w:val="sr-Cyrl-CS"/>
        </w:rPr>
        <w:t>То значи да би се покренута парница</w:t>
      </w:r>
      <w:r w:rsidRPr="005E31CD">
        <w:rPr>
          <w:rFonts w:ascii="Times New Roman" w:hAnsi="Times New Roman" w:cs="Times New Roman"/>
          <w:sz w:val="24"/>
          <w:szCs w:val="24"/>
          <w:lang w:val="sr-Cyrl-CS"/>
        </w:rPr>
        <w:t xml:space="preserve"> окончала између повериоца – уступиоца и стечајног дужника, а њено дејство би се протегло и на лице коме је потраживање пренето – новог повериоца. </w:t>
      </w:r>
    </w:p>
    <w:p w:rsidR="00352190" w:rsidRDefault="001B0734" w:rsidP="0025432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Највећи број поверилаца у стечајним поступцима представљају бивши запослени правног претходника стечајног дужника. Потраживања из радног односа се </w:t>
      </w:r>
      <w:r>
        <w:rPr>
          <w:rFonts w:ascii="Times New Roman" w:hAnsi="Times New Roman" w:cs="Times New Roman"/>
          <w:sz w:val="24"/>
          <w:szCs w:val="24"/>
          <w:lang w:val="sr-Cyrl-RS"/>
        </w:rPr>
        <w:lastRenderedPageBreak/>
        <w:t xml:space="preserve">разврставају или у </w:t>
      </w:r>
      <w:r w:rsidR="00A85279">
        <w:rPr>
          <w:rFonts w:ascii="Times New Roman" w:hAnsi="Times New Roman" w:cs="Times New Roman"/>
          <w:sz w:val="24"/>
          <w:szCs w:val="24"/>
          <w:lang w:val="sr-Cyrl-RS"/>
        </w:rPr>
        <w:t>први исплатни ред, у који спадају</w:t>
      </w:r>
      <w:r>
        <w:rPr>
          <w:rFonts w:ascii="Times New Roman" w:hAnsi="Times New Roman" w:cs="Times New Roman"/>
          <w:sz w:val="24"/>
          <w:szCs w:val="24"/>
          <w:lang w:val="sr-Cyrl-RS"/>
        </w:rPr>
        <w:t xml:space="preserve"> неисплаћене нето зараде запослених у износу минималних зарада за последњих годину дана пре отварања стечајних поступака и неплаћени доприноси за пензијско и инвалидско осигурање запослених за последње две године пре отварања ст</w:t>
      </w:r>
      <w:r w:rsidR="00A85279">
        <w:rPr>
          <w:rFonts w:ascii="Times New Roman" w:hAnsi="Times New Roman" w:cs="Times New Roman"/>
          <w:sz w:val="24"/>
          <w:szCs w:val="24"/>
          <w:lang w:val="sr-Cyrl-RS"/>
        </w:rPr>
        <w:t xml:space="preserve">ечајног поступка, или у трећи исплатни ред, где спадају сва остала потраживања из радних односа која не испуњавају напред наведене услове за први ислатни ред. Наплату својих потраживања из радног односа запослени, уколико се стечајни поступак окончава банкротством, могу очекивати након уновчења имовине и спроведене деобе стечајне масе, а што изискује проток временског периода. </w:t>
      </w:r>
    </w:p>
    <w:p w:rsidR="00D464FE" w:rsidRPr="00D464FE" w:rsidRDefault="00A85279" w:rsidP="00D464FE">
      <w:pPr>
        <w:pStyle w:val="Normal1"/>
        <w:spacing w:line="360" w:lineRule="auto"/>
        <w:jc w:val="both"/>
        <w:rPr>
          <w:rFonts w:ascii="Times New Roman" w:eastAsiaTheme="minorHAnsi" w:hAnsi="Times New Roman" w:cs="Times New Roman"/>
          <w:sz w:val="24"/>
          <w:szCs w:val="24"/>
          <w:lang w:val="sr-Cyrl-RS"/>
        </w:rPr>
      </w:pPr>
      <w:r w:rsidRPr="00D464FE">
        <w:rPr>
          <w:rFonts w:ascii="Times New Roman" w:hAnsi="Times New Roman" w:cs="Times New Roman"/>
          <w:sz w:val="24"/>
          <w:szCs w:val="24"/>
          <w:lang w:val="sr-Cyrl-RS"/>
        </w:rPr>
        <w:t xml:space="preserve">Чланом </w:t>
      </w:r>
      <w:r w:rsidR="00D464FE" w:rsidRPr="00D464FE">
        <w:rPr>
          <w:rFonts w:ascii="Times New Roman" w:hAnsi="Times New Roman" w:cs="Times New Roman"/>
          <w:sz w:val="24"/>
          <w:szCs w:val="24"/>
          <w:lang w:val="sr-Latn-RS"/>
        </w:rPr>
        <w:t xml:space="preserve">124. </w:t>
      </w:r>
      <w:r w:rsidRPr="00D464FE">
        <w:rPr>
          <w:rFonts w:ascii="Times New Roman" w:hAnsi="Times New Roman" w:cs="Times New Roman"/>
          <w:sz w:val="24"/>
          <w:szCs w:val="24"/>
          <w:lang w:val="sr-Cyrl-RS"/>
        </w:rPr>
        <w:t>Закона о раду ("Сл. Гласник РС",брr. 24/2005, 61/2005, 54/2009, 32/2013, 75/2014 i 13/2017 – одлука УС)</w:t>
      </w:r>
      <w:r w:rsidR="00B27EE8">
        <w:rPr>
          <w:rFonts w:ascii="Times New Roman" w:hAnsi="Times New Roman" w:cs="Times New Roman"/>
          <w:sz w:val="24"/>
          <w:szCs w:val="24"/>
          <w:lang w:val="sr-Cyrl-RS"/>
        </w:rPr>
        <w:t>, између осталог,</w:t>
      </w:r>
      <w:r w:rsidRPr="00D464FE">
        <w:rPr>
          <w:rFonts w:ascii="Times New Roman" w:hAnsi="Times New Roman" w:cs="Times New Roman"/>
          <w:sz w:val="24"/>
          <w:szCs w:val="24"/>
          <w:lang w:val="sr-Cyrl-RS"/>
        </w:rPr>
        <w:t xml:space="preserve"> прописано је да</w:t>
      </w:r>
      <w:r>
        <w:rPr>
          <w:rFonts w:ascii="Times New Roman" w:hAnsi="Times New Roman" w:cs="Times New Roman"/>
          <w:sz w:val="24"/>
          <w:szCs w:val="24"/>
          <w:lang w:val="sr-Cyrl-RS"/>
        </w:rPr>
        <w:t xml:space="preserve"> </w:t>
      </w:r>
      <w:r w:rsidR="00D464FE" w:rsidRPr="00D464FE">
        <w:rPr>
          <w:rFonts w:ascii="Times New Roman" w:eastAsiaTheme="minorHAnsi" w:hAnsi="Times New Roman" w:cs="Times New Roman"/>
          <w:sz w:val="24"/>
          <w:szCs w:val="24"/>
          <w:lang w:val="sr-Cyrl-RS"/>
        </w:rPr>
        <w:t xml:space="preserve">право на исплату неисплаћених потраживања код </w:t>
      </w:r>
      <w:r w:rsidR="00523242">
        <w:rPr>
          <w:rFonts w:ascii="Times New Roman" w:eastAsiaTheme="minorHAnsi" w:hAnsi="Times New Roman" w:cs="Times New Roman"/>
          <w:sz w:val="24"/>
          <w:szCs w:val="24"/>
          <w:lang w:val="sr-Cyrl-RS"/>
        </w:rPr>
        <w:t>послодавца над којим је отворен</w:t>
      </w:r>
      <w:r w:rsidR="00D464FE" w:rsidRPr="00D464FE">
        <w:rPr>
          <w:rFonts w:ascii="Times New Roman" w:eastAsiaTheme="minorHAnsi" w:hAnsi="Times New Roman" w:cs="Times New Roman"/>
          <w:sz w:val="24"/>
          <w:szCs w:val="24"/>
          <w:lang w:val="sr-Cyrl-RS"/>
        </w:rPr>
        <w:t xml:space="preserve"> стечајни поступак, у складу са овим законом, има запослени </w:t>
      </w:r>
      <w:r w:rsidR="00523242">
        <w:rPr>
          <w:rFonts w:ascii="Times New Roman" w:eastAsiaTheme="minorHAnsi" w:hAnsi="Times New Roman" w:cs="Times New Roman"/>
          <w:sz w:val="24"/>
          <w:szCs w:val="24"/>
          <w:lang w:val="sr-Cyrl-RS"/>
        </w:rPr>
        <w:t xml:space="preserve">коме су потраживања утврђена у складу са законом којим се уређује стечајни поступак и који испуњава услове за остваривање права у складу са овим законом. </w:t>
      </w:r>
      <w:r w:rsidR="00934BD5">
        <w:rPr>
          <w:rFonts w:ascii="Times New Roman" w:eastAsiaTheme="minorHAnsi" w:hAnsi="Times New Roman" w:cs="Times New Roman"/>
          <w:sz w:val="24"/>
          <w:szCs w:val="24"/>
          <w:lang w:val="sr-Cyrl-RS"/>
        </w:rPr>
        <w:t>Даље, права по Закону о раду се остварују ако нису исплаћена у складу са законом којим се уређује стечајни поступак.</w:t>
      </w:r>
    </w:p>
    <w:p w:rsidR="00A85279" w:rsidRDefault="00B27EE8" w:rsidP="00D464FE">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Према чланом</w:t>
      </w:r>
      <w:r w:rsidR="00D464FE" w:rsidRPr="00D464FE">
        <w:rPr>
          <w:rFonts w:ascii="Times New Roman" w:hAnsi="Times New Roman" w:cs="Times New Roman"/>
          <w:sz w:val="24"/>
          <w:szCs w:val="24"/>
          <w:lang w:val="sr-Cyrl-RS"/>
        </w:rPr>
        <w:t xml:space="preserve"> 125. Закона о раду, запослени има право на исплату зараде за последњих девет месеци пре покретања стечајног поступка и право и на уплату доприноса за обавезно социјално осигурање, док се, сагласно чл</w:t>
      </w:r>
      <w:r>
        <w:rPr>
          <w:rFonts w:ascii="Times New Roman" w:hAnsi="Times New Roman" w:cs="Times New Roman"/>
          <w:sz w:val="24"/>
          <w:szCs w:val="24"/>
          <w:lang w:val="sr-Cyrl-RS"/>
        </w:rPr>
        <w:t>ану 126. став</w:t>
      </w:r>
      <w:r w:rsidR="00D464FE" w:rsidRPr="00D464FE">
        <w:rPr>
          <w:rFonts w:ascii="Times New Roman" w:hAnsi="Times New Roman" w:cs="Times New Roman"/>
          <w:sz w:val="24"/>
          <w:szCs w:val="24"/>
          <w:lang w:val="sr-Cyrl-RS"/>
        </w:rPr>
        <w:t xml:space="preserve"> 1. Закона о раду, зарада исплаћује у висини минималне зараде. Чланом 139. Закона о раду прописано је да се поступак за остваривање права покреће се на захтев запосленог к</w:t>
      </w:r>
      <w:r w:rsidR="00934BD5">
        <w:rPr>
          <w:rFonts w:ascii="Times New Roman" w:hAnsi="Times New Roman" w:cs="Times New Roman"/>
          <w:sz w:val="24"/>
          <w:szCs w:val="24"/>
          <w:lang w:val="sr-Cyrl-RS"/>
        </w:rPr>
        <w:t>оји се подноси Фонду у року од 4</w:t>
      </w:r>
      <w:r w:rsidR="00D464FE" w:rsidRPr="00D464FE">
        <w:rPr>
          <w:rFonts w:ascii="Times New Roman" w:hAnsi="Times New Roman" w:cs="Times New Roman"/>
          <w:sz w:val="24"/>
          <w:szCs w:val="24"/>
          <w:lang w:val="sr-Cyrl-RS"/>
        </w:rPr>
        <w:t>5 дана од дана достављања правноснажне одлуке којом је утврђено право на потраживање, у складу са законом којим се уређује стечајни поступак.</w:t>
      </w:r>
    </w:p>
    <w:p w:rsidR="00D17CC2" w:rsidRDefault="006709BC" w:rsidP="00254325">
      <w:pPr>
        <w:spacing w:line="360" w:lineRule="auto"/>
        <w:jc w:val="both"/>
        <w:rPr>
          <w:rFonts w:ascii="Times New Roman" w:hAnsi="Times New Roman" w:cs="Times New Roman"/>
          <w:sz w:val="24"/>
          <w:szCs w:val="24"/>
          <w:lang w:val="sr-Cyrl-RS"/>
        </w:rPr>
      </w:pPr>
      <w:r w:rsidRPr="006709BC">
        <w:rPr>
          <w:rFonts w:ascii="Times New Roman" w:hAnsi="Times New Roman" w:cs="Times New Roman"/>
          <w:sz w:val="24"/>
          <w:szCs w:val="24"/>
          <w:lang w:val="sr-Cyrl-RS"/>
        </w:rPr>
        <w:t>Дакле, з</w:t>
      </w:r>
      <w:r w:rsidR="00D17CC2" w:rsidRPr="006709BC">
        <w:rPr>
          <w:rFonts w:ascii="Times New Roman" w:hAnsi="Times New Roman" w:cs="Times New Roman"/>
          <w:sz w:val="24"/>
          <w:szCs w:val="24"/>
          <w:lang w:val="sr-Cyrl-RS"/>
        </w:rPr>
        <w:t xml:space="preserve">апослени имају могућност да своја потраживања из радног односа остваре и у поступку пред Фондом солидарности подношењем захтева за остваривање права код Фонда солидарности. Фонд солидарности ће исплатити до девет минималних зарада за месеце пре покретања стечајног поступка. Предуслов за </w:t>
      </w:r>
      <w:r w:rsidR="002E31C4" w:rsidRPr="006709BC">
        <w:rPr>
          <w:rFonts w:ascii="Times New Roman" w:hAnsi="Times New Roman" w:cs="Times New Roman"/>
          <w:sz w:val="24"/>
          <w:szCs w:val="24"/>
          <w:lang w:val="sr-Cyrl-RS"/>
        </w:rPr>
        <w:t xml:space="preserve">усвајање захтева као и за </w:t>
      </w:r>
      <w:r w:rsidR="00D17CC2" w:rsidRPr="006709BC">
        <w:rPr>
          <w:rFonts w:ascii="Times New Roman" w:hAnsi="Times New Roman" w:cs="Times New Roman"/>
          <w:sz w:val="24"/>
          <w:szCs w:val="24"/>
          <w:lang w:val="sr-Cyrl-RS"/>
        </w:rPr>
        <w:t>исплату је испуњење услова:</w:t>
      </w:r>
    </w:p>
    <w:p w:rsidR="002E31C4" w:rsidRPr="002E31C4" w:rsidRDefault="002E31C4" w:rsidP="00254325">
      <w:pPr>
        <w:pStyle w:val="ListParagraph"/>
        <w:numPr>
          <w:ilvl w:val="0"/>
          <w:numId w:val="9"/>
        </w:numPr>
        <w:spacing w:after="0" w:line="360" w:lineRule="auto"/>
        <w:jc w:val="both"/>
        <w:rPr>
          <w:rFonts w:ascii="Times New Roman" w:eastAsia="Times New Roman" w:hAnsi="Times New Roman" w:cs="Times New Roman"/>
          <w:sz w:val="24"/>
          <w:szCs w:val="24"/>
          <w:lang w:eastAsia="sr-Latn-RS"/>
        </w:rPr>
      </w:pPr>
      <w:r w:rsidRPr="002E31C4">
        <w:rPr>
          <w:rFonts w:ascii="Times New Roman" w:eastAsia="Times New Roman" w:hAnsi="Times New Roman" w:cs="Times New Roman"/>
          <w:bCs/>
          <w:sz w:val="24"/>
          <w:szCs w:val="24"/>
          <w:lang w:eastAsia="sr-Latn-RS"/>
        </w:rPr>
        <w:t>Да је у предузећу отворен стечај и да су потраживања запосленог утврђена закључком у складу са законом кој</w:t>
      </w:r>
      <w:r w:rsidR="006709BC">
        <w:rPr>
          <w:rFonts w:ascii="Times New Roman" w:eastAsia="Times New Roman" w:hAnsi="Times New Roman" w:cs="Times New Roman"/>
          <w:bCs/>
          <w:sz w:val="24"/>
          <w:szCs w:val="24"/>
          <w:lang w:eastAsia="sr-Latn-RS"/>
        </w:rPr>
        <w:t>им се уређује стечајни поступак;</w:t>
      </w:r>
      <w:r w:rsidRPr="002E31C4">
        <w:rPr>
          <w:rFonts w:ascii="Times New Roman" w:eastAsia="Times New Roman" w:hAnsi="Times New Roman" w:cs="Times New Roman"/>
          <w:sz w:val="24"/>
          <w:szCs w:val="24"/>
          <w:lang w:eastAsia="sr-Latn-RS"/>
        </w:rPr>
        <w:t xml:space="preserve"> </w:t>
      </w:r>
    </w:p>
    <w:p w:rsidR="002E31C4" w:rsidRPr="002E31C4" w:rsidRDefault="002E31C4" w:rsidP="00254325">
      <w:pPr>
        <w:pStyle w:val="ListParagraph"/>
        <w:numPr>
          <w:ilvl w:val="0"/>
          <w:numId w:val="9"/>
        </w:numPr>
        <w:spacing w:after="0" w:line="360" w:lineRule="auto"/>
        <w:jc w:val="both"/>
        <w:rPr>
          <w:rFonts w:ascii="Times New Roman" w:eastAsia="Times New Roman" w:hAnsi="Times New Roman" w:cs="Times New Roman"/>
          <w:sz w:val="24"/>
          <w:szCs w:val="24"/>
          <w:lang w:eastAsia="sr-Latn-RS"/>
        </w:rPr>
      </w:pPr>
      <w:r w:rsidRPr="002E31C4">
        <w:rPr>
          <w:rFonts w:ascii="Times New Roman" w:eastAsia="Times New Roman" w:hAnsi="Times New Roman" w:cs="Times New Roman"/>
          <w:sz w:val="24"/>
          <w:szCs w:val="24"/>
          <w:lang w:eastAsia="sr-Latn-RS"/>
        </w:rPr>
        <w:lastRenderedPageBreak/>
        <w:t>Да је запослени био у радном односу на дан покретања стечајног поступка или да је лице било у радном односу у периоду за који се остварују прав</w:t>
      </w:r>
      <w:r w:rsidR="006709BC">
        <w:rPr>
          <w:rFonts w:ascii="Times New Roman" w:eastAsia="Times New Roman" w:hAnsi="Times New Roman" w:cs="Times New Roman"/>
          <w:sz w:val="24"/>
          <w:szCs w:val="24"/>
          <w:lang w:eastAsia="sr-Latn-RS"/>
        </w:rPr>
        <w:t>а утврђена Законом о раду;</w:t>
      </w:r>
      <w:r w:rsidRPr="002E31C4">
        <w:rPr>
          <w:rFonts w:ascii="Times New Roman" w:eastAsia="Times New Roman" w:hAnsi="Times New Roman" w:cs="Times New Roman"/>
          <w:sz w:val="24"/>
          <w:szCs w:val="24"/>
          <w:lang w:eastAsia="sr-Latn-RS"/>
        </w:rPr>
        <w:t xml:space="preserve"> </w:t>
      </w:r>
    </w:p>
    <w:p w:rsidR="002E31C4" w:rsidRPr="002E31C4" w:rsidRDefault="002E31C4" w:rsidP="00254325">
      <w:pPr>
        <w:pStyle w:val="ListParagraph"/>
        <w:numPr>
          <w:ilvl w:val="0"/>
          <w:numId w:val="9"/>
        </w:numPr>
        <w:spacing w:line="360" w:lineRule="auto"/>
        <w:jc w:val="both"/>
        <w:rPr>
          <w:rFonts w:ascii="Times New Roman" w:eastAsia="Times New Roman" w:hAnsi="Times New Roman" w:cs="Times New Roman"/>
          <w:sz w:val="24"/>
          <w:szCs w:val="24"/>
          <w:lang w:val="sr-Cyrl-RS" w:eastAsia="sr-Latn-RS"/>
        </w:rPr>
      </w:pPr>
      <w:r w:rsidRPr="002E31C4">
        <w:rPr>
          <w:rFonts w:ascii="Times New Roman" w:eastAsia="Times New Roman" w:hAnsi="Times New Roman" w:cs="Times New Roman"/>
          <w:sz w:val="24"/>
          <w:szCs w:val="24"/>
          <w:lang w:eastAsia="sr-Latn-RS"/>
        </w:rPr>
        <w:t>Да потраживања нису исплаћена у складу са законом којим се уређује стечајни поступак, или да нису исплаћена у целости (припада им право на разлику до нивоа права утврђеним За</w:t>
      </w:r>
      <w:r w:rsidR="006709BC">
        <w:rPr>
          <w:rFonts w:ascii="Times New Roman" w:eastAsia="Times New Roman" w:hAnsi="Times New Roman" w:cs="Times New Roman"/>
          <w:sz w:val="24"/>
          <w:szCs w:val="24"/>
          <w:lang w:eastAsia="sr-Latn-RS"/>
        </w:rPr>
        <w:t>коном о раду);</w:t>
      </w:r>
      <w:r w:rsidRPr="002E31C4">
        <w:rPr>
          <w:rFonts w:ascii="Times New Roman" w:eastAsia="Times New Roman" w:hAnsi="Times New Roman" w:cs="Times New Roman"/>
          <w:sz w:val="24"/>
          <w:szCs w:val="24"/>
          <w:lang w:eastAsia="sr-Latn-RS"/>
        </w:rPr>
        <w:t xml:space="preserve"> </w:t>
      </w:r>
    </w:p>
    <w:p w:rsidR="00D17CC2" w:rsidRDefault="002E31C4" w:rsidP="00254325">
      <w:pPr>
        <w:pStyle w:val="ListParagraph"/>
        <w:numPr>
          <w:ilvl w:val="0"/>
          <w:numId w:val="9"/>
        </w:numPr>
        <w:spacing w:line="360" w:lineRule="auto"/>
        <w:jc w:val="both"/>
        <w:rPr>
          <w:rFonts w:ascii="Times New Roman" w:hAnsi="Times New Roman" w:cs="Times New Roman"/>
          <w:sz w:val="24"/>
          <w:szCs w:val="24"/>
          <w:lang w:val="sr-Cyrl-RS"/>
        </w:rPr>
      </w:pPr>
      <w:r w:rsidRPr="002E31C4">
        <w:rPr>
          <w:rFonts w:ascii="Times New Roman" w:eastAsia="Times New Roman" w:hAnsi="Times New Roman" w:cs="Times New Roman"/>
          <w:bCs/>
          <w:sz w:val="24"/>
          <w:szCs w:val="24"/>
          <w:lang w:eastAsia="sr-Latn-RS"/>
        </w:rPr>
        <w:t>Зах</w:t>
      </w:r>
      <w:r w:rsidR="00934BD5">
        <w:rPr>
          <w:rFonts w:ascii="Times New Roman" w:eastAsia="Times New Roman" w:hAnsi="Times New Roman" w:cs="Times New Roman"/>
          <w:bCs/>
          <w:sz w:val="24"/>
          <w:szCs w:val="24"/>
          <w:lang w:eastAsia="sr-Latn-RS"/>
        </w:rPr>
        <w:t xml:space="preserve">тев се подноси Фонду у року од </w:t>
      </w:r>
      <w:r w:rsidR="00934BD5">
        <w:rPr>
          <w:rFonts w:ascii="Times New Roman" w:eastAsia="Times New Roman" w:hAnsi="Times New Roman" w:cs="Times New Roman"/>
          <w:bCs/>
          <w:sz w:val="24"/>
          <w:szCs w:val="24"/>
          <w:lang w:val="sr-Cyrl-RS" w:eastAsia="sr-Latn-RS"/>
        </w:rPr>
        <w:t>4</w:t>
      </w:r>
      <w:r w:rsidRPr="002E31C4">
        <w:rPr>
          <w:rFonts w:ascii="Times New Roman" w:eastAsia="Times New Roman" w:hAnsi="Times New Roman" w:cs="Times New Roman"/>
          <w:bCs/>
          <w:sz w:val="24"/>
          <w:szCs w:val="24"/>
          <w:lang w:eastAsia="sr-Latn-RS"/>
        </w:rPr>
        <w:t>5 дана од дана достављања одлуке којом је утврђено право на потраживање, у складу са законом којим се уређује стечајни поступак.</w:t>
      </w:r>
      <w:r w:rsidR="00D17CC2" w:rsidRPr="002E31C4">
        <w:rPr>
          <w:rFonts w:ascii="Times New Roman" w:hAnsi="Times New Roman" w:cs="Times New Roman"/>
          <w:sz w:val="24"/>
          <w:szCs w:val="24"/>
          <w:lang w:val="sr-Cyrl-RS"/>
        </w:rPr>
        <w:t xml:space="preserve"> </w:t>
      </w:r>
    </w:p>
    <w:p w:rsidR="006709BC" w:rsidRDefault="006709BC" w:rsidP="00254325">
      <w:pPr>
        <w:spacing w:line="360" w:lineRule="auto"/>
        <w:jc w:val="both"/>
        <w:rPr>
          <w:rFonts w:ascii="Times New Roman" w:hAnsi="Times New Roman" w:cs="Times New Roman"/>
          <w:sz w:val="24"/>
          <w:szCs w:val="24"/>
        </w:rPr>
      </w:pPr>
      <w:r w:rsidRPr="006709BC">
        <w:rPr>
          <w:rFonts w:ascii="Times New Roman" w:hAnsi="Times New Roman" w:cs="Times New Roman"/>
          <w:sz w:val="24"/>
          <w:szCs w:val="24"/>
          <w:lang w:val="sr-Cyrl-RS"/>
        </w:rPr>
        <w:t>Чланом 53. Закона о стечају прописано је да у стечајном поступку могу да учествују лица која су солидарни дужници, јемци, гаранти и слично, и да ова лица могу као стечајни повериоци захтевати да им се врати оно што су за стечајног дужника платили пре или после дана покретања стечајног поступка, ако имају регресно право према стечајном дужнику.</w:t>
      </w:r>
    </w:p>
    <w:p w:rsidR="00CA789F" w:rsidRDefault="00CA789F" w:rsidP="00254325">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300. Закона о облигационим односима прописано је да кад обавезу испуни лице које има неки правни интерес у томе, на њега прелази по самомо закону у часу испуњења повериочево потраживање са свим споредним правима.</w:t>
      </w:r>
      <w:r w:rsidR="00254325">
        <w:rPr>
          <w:rFonts w:ascii="Times New Roman" w:hAnsi="Times New Roman" w:cs="Times New Roman"/>
          <w:sz w:val="24"/>
          <w:szCs w:val="24"/>
          <w:lang w:val="sr-Cyrl-RS"/>
        </w:rPr>
        <w:t xml:space="preserve"> То значи да ће у стечајном поступку, након исплате запосленом, Фонд солидарности ступити на место запосленог, односно ступити у права запослеог у односу на пријављена и призната потраживања за временски период који је исплаћен запосленом. Наиме, Фонд солидарности, након исплате запослених, надлежном Привредном суду подноси захтев за измену коначне листе утврђених потраживања. Предметни захтев стечајни судија прослеђује стечајном управнику на изјашњење. </w:t>
      </w:r>
    </w:p>
    <w:p w:rsidR="000B0CC6" w:rsidRDefault="000B0CC6" w:rsidP="00ED51B2">
      <w:pPr>
        <w:spacing w:line="36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би требало да гласи изјашњење стечајног управника илуствоваћемо примером:</w:t>
      </w:r>
    </w:p>
    <w:p w:rsidR="000B0CC6" w:rsidRPr="00ED51B2" w:rsidRDefault="000B0CC6" w:rsidP="00ED51B2">
      <w:pPr>
        <w:spacing w:line="360" w:lineRule="auto"/>
        <w:jc w:val="both"/>
        <w:rPr>
          <w:rFonts w:ascii="Times New Roman" w:hAnsi="Times New Roman" w:cs="Times New Roman"/>
          <w:sz w:val="24"/>
          <w:szCs w:val="24"/>
          <w:lang w:val="sr-Cyrl-RS"/>
        </w:rPr>
      </w:pPr>
      <w:r w:rsidRPr="00ED51B2">
        <w:rPr>
          <w:rFonts w:ascii="Times New Roman" w:hAnsi="Times New Roman" w:cs="Times New Roman"/>
          <w:sz w:val="24"/>
          <w:szCs w:val="24"/>
          <w:lang w:val="sr-Cyrl-RS"/>
        </w:rPr>
        <w:t>Фонд Солидарности се обратио Привредном са захтевом за измену листе поверилаца, на начин тако што ће уместо повериоца Петра Петровића (пријава бр.1) ступити Фонд солидарности у износу од 107.120,00 динара. Фонд солидарности је уз свој захтев доставио и извештај о исплатама из</w:t>
      </w:r>
      <w:r w:rsidR="00934BD5">
        <w:rPr>
          <w:rFonts w:ascii="Times New Roman" w:hAnsi="Times New Roman" w:cs="Times New Roman"/>
          <w:sz w:val="24"/>
          <w:szCs w:val="24"/>
          <w:lang w:val="sr-Cyrl-RS"/>
        </w:rPr>
        <w:t xml:space="preserve"> Фонда солидарности за запосленог</w:t>
      </w:r>
      <w:r w:rsidRPr="00ED51B2">
        <w:rPr>
          <w:rFonts w:ascii="Times New Roman" w:hAnsi="Times New Roman" w:cs="Times New Roman"/>
          <w:sz w:val="24"/>
          <w:szCs w:val="24"/>
          <w:lang w:val="sr-Cyrl-RS"/>
        </w:rPr>
        <w:t xml:space="preserve"> правног претходника стечајног дужника. Закључком о листи утврђених потраживања, стечајном повериоцу Петру Петровићу, по пријави број 1, утврђено је као основано потраживање у првом исплатном реду, по основу неисплаћених нето минималних зарада за период од 15.09.2014. године до 08.05.2015. године, у укупном износу од 160.816,00 динара. </w:t>
      </w:r>
      <w:r w:rsidRPr="00ED51B2">
        <w:rPr>
          <w:rFonts w:ascii="Times New Roman" w:hAnsi="Times New Roman" w:cs="Times New Roman"/>
          <w:sz w:val="24"/>
          <w:szCs w:val="24"/>
          <w:lang w:val="sr-Cyrl-RS"/>
        </w:rPr>
        <w:lastRenderedPageBreak/>
        <w:t xml:space="preserve">Утврђено основано потраживање повериоца Петра Петровића, за период од 16.12.2014. до 08.05.2015. године по основу неисплаћених нето минималних зарада укупно износи 99.128,00 динара (96 радних часова за период од 16.12.2014 до 31.12.2014. године х 115,00 динара - минимална цена рада по часу у 2014. години = 11.040,00 динара + 728 часова за период од 01.01.2015. године до 08.05.2015. године х 121,00 динара-минимална цена рада по часу у 2015. години = 88.088,00 динара). </w:t>
      </w:r>
    </w:p>
    <w:p w:rsidR="000B0CC6" w:rsidRPr="00ED51B2" w:rsidRDefault="000B0CC6" w:rsidP="00ED51B2">
      <w:pPr>
        <w:spacing w:line="360" w:lineRule="auto"/>
        <w:rPr>
          <w:rFonts w:ascii="Times New Roman" w:hAnsi="Times New Roman" w:cs="Times New Roman"/>
          <w:sz w:val="24"/>
          <w:szCs w:val="24"/>
          <w:lang w:val="sr-Cyrl-RS"/>
        </w:rPr>
      </w:pPr>
    </w:p>
    <w:p w:rsidR="000B0CC6" w:rsidRPr="00ED51B2" w:rsidRDefault="000B0CC6" w:rsidP="00ED51B2">
      <w:pPr>
        <w:jc w:val="center"/>
        <w:rPr>
          <w:rFonts w:ascii="Times New Roman" w:hAnsi="Times New Roman" w:cs="Times New Roman"/>
          <w:sz w:val="24"/>
          <w:szCs w:val="24"/>
          <w:lang w:val="sr-Cyrl-RS"/>
        </w:rPr>
      </w:pPr>
      <w:r w:rsidRPr="00ED51B2">
        <w:rPr>
          <w:rFonts w:ascii="Times New Roman" w:hAnsi="Times New Roman" w:cs="Times New Roman"/>
          <w:sz w:val="24"/>
          <w:szCs w:val="24"/>
          <w:lang w:val="sr-Cyrl-RS"/>
        </w:rPr>
        <w:t>ТАБЕЛА ИСПЛАЋЕНИХ НЕТО ЗАРАДА ОД ФОНДА СОЛИДАРНОСТИ</w:t>
      </w:r>
    </w:p>
    <w:tbl>
      <w:tblPr>
        <w:tblStyle w:val="TableGrid"/>
        <w:tblW w:w="9180" w:type="dxa"/>
        <w:tblLayout w:type="fixed"/>
        <w:tblLook w:val="04A0" w:firstRow="1" w:lastRow="0" w:firstColumn="1" w:lastColumn="0" w:noHBand="0" w:noVBand="1"/>
      </w:tblPr>
      <w:tblGrid>
        <w:gridCol w:w="675"/>
        <w:gridCol w:w="1701"/>
        <w:gridCol w:w="2552"/>
        <w:gridCol w:w="2268"/>
        <w:gridCol w:w="1984"/>
      </w:tblGrid>
      <w:tr w:rsidR="000B0CC6" w:rsidRPr="00ED51B2" w:rsidTr="00ED51B2">
        <w:tc>
          <w:tcPr>
            <w:tcW w:w="675" w:type="dxa"/>
            <w:vAlign w:val="center"/>
          </w:tcPr>
          <w:p w:rsidR="000B0CC6" w:rsidRPr="00ED51B2" w:rsidRDefault="000B0CC6" w:rsidP="00ED51B2">
            <w:pPr>
              <w:jc w:val="center"/>
              <w:rPr>
                <w:rFonts w:ascii="Times New Roman" w:hAnsi="Times New Roman" w:cs="Times New Roman"/>
              </w:rPr>
            </w:pPr>
            <w:proofErr w:type="spellStart"/>
            <w:r w:rsidRPr="00ED51B2">
              <w:rPr>
                <w:rFonts w:ascii="Times New Roman" w:hAnsi="Times New Roman" w:cs="Times New Roman"/>
              </w:rPr>
              <w:t>Ред.бр</w:t>
            </w:r>
            <w:proofErr w:type="spellEnd"/>
            <w:r w:rsidRPr="00ED51B2">
              <w:rPr>
                <w:rFonts w:ascii="Times New Roman" w:hAnsi="Times New Roman" w:cs="Times New Roman"/>
              </w:rPr>
              <w:t>.</w:t>
            </w:r>
          </w:p>
        </w:tc>
        <w:tc>
          <w:tcPr>
            <w:tcW w:w="1701" w:type="dxa"/>
            <w:vAlign w:val="center"/>
          </w:tcPr>
          <w:p w:rsidR="000B0CC6" w:rsidRPr="00ED51B2" w:rsidRDefault="000B0CC6" w:rsidP="00ED51B2">
            <w:pPr>
              <w:jc w:val="center"/>
              <w:rPr>
                <w:rFonts w:ascii="Times New Roman" w:hAnsi="Times New Roman" w:cs="Times New Roman"/>
              </w:rPr>
            </w:pPr>
            <w:proofErr w:type="spellStart"/>
            <w:r w:rsidRPr="00ED51B2">
              <w:rPr>
                <w:rFonts w:ascii="Times New Roman" w:hAnsi="Times New Roman" w:cs="Times New Roman"/>
              </w:rPr>
              <w:t>Име</w:t>
            </w:r>
            <w:proofErr w:type="spellEnd"/>
            <w:r w:rsidRPr="00ED51B2">
              <w:rPr>
                <w:rFonts w:ascii="Times New Roman" w:hAnsi="Times New Roman" w:cs="Times New Roman"/>
              </w:rPr>
              <w:t xml:space="preserve"> и </w:t>
            </w:r>
            <w:proofErr w:type="spellStart"/>
            <w:r w:rsidRPr="00ED51B2">
              <w:rPr>
                <w:rFonts w:ascii="Times New Roman" w:hAnsi="Times New Roman" w:cs="Times New Roman"/>
              </w:rPr>
              <w:t>презиме</w:t>
            </w:r>
            <w:proofErr w:type="spellEnd"/>
          </w:p>
        </w:tc>
        <w:tc>
          <w:tcPr>
            <w:tcW w:w="2552" w:type="dxa"/>
            <w:vAlign w:val="center"/>
          </w:tcPr>
          <w:p w:rsidR="000B0CC6" w:rsidRPr="00ED51B2" w:rsidRDefault="000B0CC6" w:rsidP="00ED51B2">
            <w:pPr>
              <w:jc w:val="center"/>
              <w:rPr>
                <w:rFonts w:ascii="Times New Roman" w:hAnsi="Times New Roman" w:cs="Times New Roman"/>
              </w:rPr>
            </w:pPr>
            <w:proofErr w:type="spellStart"/>
            <w:r w:rsidRPr="00ED51B2">
              <w:rPr>
                <w:rFonts w:ascii="Times New Roman" w:hAnsi="Times New Roman" w:cs="Times New Roman"/>
              </w:rPr>
              <w:t>Исплаћене</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нето</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зараде</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од</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Фонда</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солидарности</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за</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период</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од</w:t>
            </w:r>
            <w:proofErr w:type="spellEnd"/>
            <w:r w:rsidRPr="00ED51B2">
              <w:rPr>
                <w:rFonts w:ascii="Times New Roman" w:hAnsi="Times New Roman" w:cs="Times New Roman"/>
              </w:rPr>
              <w:t xml:space="preserve"> 16.12.2014.године </w:t>
            </w:r>
            <w:proofErr w:type="spellStart"/>
            <w:r w:rsidRPr="00ED51B2">
              <w:rPr>
                <w:rFonts w:ascii="Times New Roman" w:hAnsi="Times New Roman" w:cs="Times New Roman"/>
              </w:rPr>
              <w:t>до</w:t>
            </w:r>
            <w:proofErr w:type="spellEnd"/>
            <w:r w:rsidRPr="00ED51B2">
              <w:rPr>
                <w:rFonts w:ascii="Times New Roman" w:hAnsi="Times New Roman" w:cs="Times New Roman"/>
              </w:rPr>
              <w:t xml:space="preserve"> 08.05.2015.године</w:t>
            </w:r>
          </w:p>
        </w:tc>
        <w:tc>
          <w:tcPr>
            <w:tcW w:w="2268" w:type="dxa"/>
            <w:vAlign w:val="center"/>
          </w:tcPr>
          <w:p w:rsidR="000B0CC6" w:rsidRPr="00ED51B2" w:rsidRDefault="000B0CC6" w:rsidP="00ED51B2">
            <w:pPr>
              <w:jc w:val="center"/>
              <w:rPr>
                <w:rFonts w:ascii="Times New Roman" w:hAnsi="Times New Roman" w:cs="Times New Roman"/>
              </w:rPr>
            </w:pPr>
            <w:proofErr w:type="spellStart"/>
            <w:r w:rsidRPr="00ED51B2">
              <w:rPr>
                <w:rFonts w:ascii="Times New Roman" w:hAnsi="Times New Roman" w:cs="Times New Roman"/>
              </w:rPr>
              <w:t>Признато</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потраживање</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нето</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зарада</w:t>
            </w:r>
            <w:proofErr w:type="spellEnd"/>
            <w:r w:rsidRPr="00ED51B2">
              <w:rPr>
                <w:rFonts w:ascii="Times New Roman" w:hAnsi="Times New Roman" w:cs="Times New Roman"/>
              </w:rPr>
              <w:t xml:space="preserve"> </w:t>
            </w:r>
            <w:r w:rsidRPr="00ED51B2">
              <w:rPr>
                <w:rFonts w:ascii="Times New Roman" w:hAnsi="Times New Roman" w:cs="Times New Roman"/>
                <w:lang w:val="sr-Cyrl-CS"/>
              </w:rPr>
              <w:t xml:space="preserve">за период </w:t>
            </w:r>
            <w:proofErr w:type="spellStart"/>
            <w:r w:rsidRPr="00ED51B2">
              <w:rPr>
                <w:rFonts w:ascii="Times New Roman" w:hAnsi="Times New Roman" w:cs="Times New Roman"/>
              </w:rPr>
              <w:t>од</w:t>
            </w:r>
            <w:proofErr w:type="spellEnd"/>
            <w:r w:rsidRPr="00ED51B2">
              <w:rPr>
                <w:rFonts w:ascii="Times New Roman" w:hAnsi="Times New Roman" w:cs="Times New Roman"/>
              </w:rPr>
              <w:t xml:space="preserve"> 16.12.2014.године </w:t>
            </w:r>
            <w:proofErr w:type="spellStart"/>
            <w:r w:rsidRPr="00ED51B2">
              <w:rPr>
                <w:rFonts w:ascii="Times New Roman" w:hAnsi="Times New Roman" w:cs="Times New Roman"/>
              </w:rPr>
              <w:t>до</w:t>
            </w:r>
            <w:proofErr w:type="spellEnd"/>
            <w:r w:rsidRPr="00ED51B2">
              <w:rPr>
                <w:rFonts w:ascii="Times New Roman" w:hAnsi="Times New Roman" w:cs="Times New Roman"/>
              </w:rPr>
              <w:t xml:space="preserve"> 08.05.2015.године</w:t>
            </w:r>
          </w:p>
        </w:tc>
        <w:tc>
          <w:tcPr>
            <w:tcW w:w="1984" w:type="dxa"/>
            <w:vAlign w:val="center"/>
          </w:tcPr>
          <w:p w:rsidR="000B0CC6" w:rsidRPr="00ED51B2" w:rsidRDefault="000B0CC6" w:rsidP="00ED51B2">
            <w:pPr>
              <w:jc w:val="center"/>
              <w:rPr>
                <w:rFonts w:ascii="Times New Roman" w:hAnsi="Times New Roman" w:cs="Times New Roman"/>
                <w:lang w:val="sr-Cyrl-CS"/>
              </w:rPr>
            </w:pPr>
            <w:proofErr w:type="spellStart"/>
            <w:r w:rsidRPr="00ED51B2">
              <w:rPr>
                <w:rFonts w:ascii="Times New Roman" w:hAnsi="Times New Roman" w:cs="Times New Roman"/>
              </w:rPr>
              <w:t>Износ</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нето</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зарада</w:t>
            </w:r>
            <w:proofErr w:type="spellEnd"/>
            <w:r w:rsidRPr="00ED51B2">
              <w:rPr>
                <w:rFonts w:ascii="Times New Roman" w:hAnsi="Times New Roman" w:cs="Times New Roman"/>
              </w:rPr>
              <w:t xml:space="preserve"> </w:t>
            </w:r>
            <w:r w:rsidRPr="00ED51B2">
              <w:rPr>
                <w:rFonts w:ascii="Times New Roman" w:hAnsi="Times New Roman" w:cs="Times New Roman"/>
                <w:lang w:val="sr-Cyrl-CS"/>
              </w:rPr>
              <w:t>у</w:t>
            </w:r>
            <w:r w:rsidR="00ED51B2">
              <w:rPr>
                <w:rFonts w:ascii="Times New Roman" w:hAnsi="Times New Roman" w:cs="Times New Roman"/>
                <w:lang w:val="sr-Cyrl-CS"/>
              </w:rPr>
              <w:t xml:space="preserve"> </w:t>
            </w:r>
            <w:r w:rsidRPr="00ED51B2">
              <w:rPr>
                <w:rFonts w:ascii="Times New Roman" w:hAnsi="Times New Roman" w:cs="Times New Roman"/>
              </w:rPr>
              <w:t xml:space="preserve">I </w:t>
            </w:r>
            <w:proofErr w:type="spellStart"/>
            <w:r w:rsidRPr="00ED51B2">
              <w:rPr>
                <w:rFonts w:ascii="Times New Roman" w:hAnsi="Times New Roman" w:cs="Times New Roman"/>
              </w:rPr>
              <w:t>исплатном</w:t>
            </w:r>
            <w:proofErr w:type="spellEnd"/>
            <w:r w:rsidRPr="00ED51B2">
              <w:rPr>
                <w:rFonts w:ascii="Times New Roman" w:hAnsi="Times New Roman" w:cs="Times New Roman"/>
              </w:rPr>
              <w:t xml:space="preserve"> </w:t>
            </w:r>
            <w:proofErr w:type="spellStart"/>
            <w:r w:rsidRPr="00ED51B2">
              <w:rPr>
                <w:rFonts w:ascii="Times New Roman" w:hAnsi="Times New Roman" w:cs="Times New Roman"/>
              </w:rPr>
              <w:t>реду</w:t>
            </w:r>
            <w:proofErr w:type="spellEnd"/>
            <w:r w:rsidRPr="00ED51B2">
              <w:rPr>
                <w:rFonts w:ascii="Times New Roman" w:hAnsi="Times New Roman" w:cs="Times New Roman"/>
              </w:rPr>
              <w:t xml:space="preserve"> </w:t>
            </w:r>
            <w:r w:rsidRPr="00ED51B2">
              <w:rPr>
                <w:rFonts w:ascii="Times New Roman" w:hAnsi="Times New Roman" w:cs="Times New Roman"/>
                <w:lang w:val="sr-Cyrl-RS"/>
              </w:rPr>
              <w:t>за који износ Фонд солидарности ступа на место радника</w:t>
            </w:r>
          </w:p>
        </w:tc>
      </w:tr>
      <w:tr w:rsidR="000B0CC6" w:rsidRPr="00ED51B2" w:rsidTr="00ED51B2">
        <w:tc>
          <w:tcPr>
            <w:tcW w:w="675" w:type="dxa"/>
            <w:vAlign w:val="center"/>
          </w:tcPr>
          <w:p w:rsidR="000B0CC6" w:rsidRPr="00ED51B2" w:rsidRDefault="000B0CC6" w:rsidP="00ED51B2">
            <w:pPr>
              <w:jc w:val="center"/>
              <w:rPr>
                <w:rFonts w:ascii="Times New Roman" w:hAnsi="Times New Roman" w:cs="Times New Roman"/>
                <w:b/>
              </w:rPr>
            </w:pPr>
            <w:r w:rsidRPr="00ED51B2">
              <w:rPr>
                <w:rFonts w:ascii="Times New Roman" w:hAnsi="Times New Roman" w:cs="Times New Roman"/>
                <w:b/>
              </w:rPr>
              <w:t>1</w:t>
            </w:r>
          </w:p>
        </w:tc>
        <w:tc>
          <w:tcPr>
            <w:tcW w:w="1701" w:type="dxa"/>
            <w:vAlign w:val="center"/>
          </w:tcPr>
          <w:p w:rsidR="000B0CC6" w:rsidRPr="00ED51B2" w:rsidRDefault="000B0CC6" w:rsidP="00ED51B2">
            <w:pPr>
              <w:jc w:val="center"/>
              <w:rPr>
                <w:rFonts w:ascii="Times New Roman" w:hAnsi="Times New Roman" w:cs="Times New Roman"/>
                <w:b/>
                <w:lang w:val="sr-Cyrl-RS"/>
              </w:rPr>
            </w:pPr>
            <w:r w:rsidRPr="00ED51B2">
              <w:rPr>
                <w:rFonts w:ascii="Times New Roman" w:hAnsi="Times New Roman" w:cs="Times New Roman"/>
                <w:b/>
                <w:lang w:val="sr-Cyrl-RS"/>
              </w:rPr>
              <w:t>ПЕТАР ПЕТРОВИЋ</w:t>
            </w:r>
          </w:p>
        </w:tc>
        <w:tc>
          <w:tcPr>
            <w:tcW w:w="2552" w:type="dxa"/>
            <w:vAlign w:val="center"/>
          </w:tcPr>
          <w:p w:rsidR="000B0CC6" w:rsidRPr="00ED51B2" w:rsidRDefault="000B0CC6" w:rsidP="00ED51B2">
            <w:pPr>
              <w:jc w:val="center"/>
              <w:rPr>
                <w:rFonts w:ascii="Times New Roman" w:hAnsi="Times New Roman" w:cs="Times New Roman"/>
                <w:b/>
              </w:rPr>
            </w:pPr>
            <w:r w:rsidRPr="00ED51B2">
              <w:rPr>
                <w:rFonts w:ascii="Times New Roman" w:hAnsi="Times New Roman" w:cs="Times New Roman"/>
                <w:b/>
              </w:rPr>
              <w:t>107.120,00</w:t>
            </w:r>
          </w:p>
        </w:tc>
        <w:tc>
          <w:tcPr>
            <w:tcW w:w="2268" w:type="dxa"/>
            <w:vAlign w:val="center"/>
          </w:tcPr>
          <w:p w:rsidR="000B0CC6" w:rsidRPr="00ED51B2" w:rsidRDefault="000B0CC6" w:rsidP="00ED51B2">
            <w:pPr>
              <w:jc w:val="center"/>
              <w:rPr>
                <w:rFonts w:ascii="Times New Roman" w:hAnsi="Times New Roman" w:cs="Times New Roman"/>
                <w:b/>
              </w:rPr>
            </w:pPr>
            <w:r w:rsidRPr="00ED51B2">
              <w:rPr>
                <w:rFonts w:ascii="Times New Roman" w:hAnsi="Times New Roman" w:cs="Times New Roman"/>
                <w:b/>
              </w:rPr>
              <w:t>99.128,00</w:t>
            </w:r>
          </w:p>
        </w:tc>
        <w:tc>
          <w:tcPr>
            <w:tcW w:w="1984" w:type="dxa"/>
            <w:vAlign w:val="center"/>
          </w:tcPr>
          <w:p w:rsidR="000B0CC6" w:rsidRPr="00ED51B2" w:rsidRDefault="000B0CC6" w:rsidP="00ED51B2">
            <w:pPr>
              <w:jc w:val="center"/>
              <w:rPr>
                <w:rFonts w:ascii="Times New Roman" w:hAnsi="Times New Roman" w:cs="Times New Roman"/>
                <w:b/>
              </w:rPr>
            </w:pPr>
            <w:r w:rsidRPr="00ED51B2">
              <w:rPr>
                <w:rFonts w:ascii="Times New Roman" w:hAnsi="Times New Roman" w:cs="Times New Roman"/>
                <w:b/>
              </w:rPr>
              <w:t>99.128,00</w:t>
            </w:r>
          </w:p>
        </w:tc>
      </w:tr>
    </w:tbl>
    <w:p w:rsidR="00D464FE" w:rsidRPr="00ED51B2" w:rsidRDefault="00D464FE" w:rsidP="00D464FE">
      <w:pPr>
        <w:spacing w:line="360" w:lineRule="auto"/>
        <w:jc w:val="both"/>
        <w:rPr>
          <w:rFonts w:ascii="Times New Roman" w:hAnsi="Times New Roman" w:cs="Times New Roman"/>
          <w:sz w:val="24"/>
          <w:szCs w:val="24"/>
          <w:lang w:val="sr-Cyrl-RS"/>
        </w:rPr>
      </w:pPr>
    </w:p>
    <w:p w:rsidR="00D464FE" w:rsidRPr="00D464FE" w:rsidRDefault="00D464FE" w:rsidP="00D464FE">
      <w:pPr>
        <w:spacing w:line="360" w:lineRule="auto"/>
        <w:jc w:val="both"/>
        <w:rPr>
          <w:rFonts w:ascii="Times New Roman" w:hAnsi="Times New Roman" w:cs="Times New Roman"/>
          <w:sz w:val="24"/>
          <w:szCs w:val="24"/>
          <w:lang w:val="sr-Cyrl-RS"/>
        </w:rPr>
      </w:pPr>
      <w:r w:rsidRPr="00D464FE">
        <w:rPr>
          <w:rFonts w:ascii="Times New Roman" w:hAnsi="Times New Roman" w:cs="Times New Roman"/>
          <w:sz w:val="24"/>
          <w:szCs w:val="24"/>
          <w:lang w:val="sr-Cyrl-RS"/>
        </w:rPr>
        <w:t>У конкретном с</w:t>
      </w:r>
      <w:r w:rsidR="00C77A81">
        <w:rPr>
          <w:rFonts w:ascii="Times New Roman" w:hAnsi="Times New Roman" w:cs="Times New Roman"/>
          <w:sz w:val="24"/>
          <w:szCs w:val="24"/>
          <w:lang w:val="sr-Cyrl-RS"/>
        </w:rPr>
        <w:t>лучају, Фонд солидарности</w:t>
      </w:r>
      <w:r w:rsidRPr="00D464FE">
        <w:rPr>
          <w:rFonts w:ascii="Times New Roman" w:hAnsi="Times New Roman" w:cs="Times New Roman"/>
          <w:sz w:val="24"/>
          <w:szCs w:val="24"/>
          <w:lang w:val="sr-Cyrl-RS"/>
        </w:rPr>
        <w:t xml:space="preserve"> је стечајном повериоцу –</w:t>
      </w:r>
      <w:r w:rsidR="00ED51B2">
        <w:rPr>
          <w:rFonts w:ascii="Times New Roman" w:hAnsi="Times New Roman" w:cs="Times New Roman"/>
          <w:sz w:val="24"/>
          <w:szCs w:val="24"/>
          <w:lang w:val="sr-Cyrl-RS"/>
        </w:rPr>
        <w:t xml:space="preserve"> </w:t>
      </w:r>
      <w:r w:rsidRPr="00D464FE">
        <w:rPr>
          <w:rFonts w:ascii="Times New Roman" w:hAnsi="Times New Roman" w:cs="Times New Roman"/>
          <w:sz w:val="24"/>
          <w:szCs w:val="24"/>
          <w:lang w:val="sr-Cyrl-RS"/>
        </w:rPr>
        <w:t>бившем запосленом, према напред наведеној табели, исплатио више него што би овај</w:t>
      </w:r>
      <w:r w:rsidR="00C77A81">
        <w:rPr>
          <w:rFonts w:ascii="Times New Roman" w:hAnsi="Times New Roman" w:cs="Times New Roman"/>
          <w:sz w:val="24"/>
          <w:szCs w:val="24"/>
          <w:lang w:val="sr-Cyrl-RS"/>
        </w:rPr>
        <w:t xml:space="preserve"> поверилац  могао</w:t>
      </w:r>
      <w:r w:rsidRPr="00D464FE">
        <w:rPr>
          <w:rFonts w:ascii="Times New Roman" w:hAnsi="Times New Roman" w:cs="Times New Roman"/>
          <w:sz w:val="24"/>
          <w:szCs w:val="24"/>
          <w:lang w:val="sr-Cyrl-RS"/>
        </w:rPr>
        <w:t xml:space="preserve"> да оствари у стечајном поступку у оквиру првог исплатног реда, а за период од 16.12.2014.</w:t>
      </w:r>
      <w:r w:rsidR="00ED51B2">
        <w:rPr>
          <w:rFonts w:ascii="Times New Roman" w:hAnsi="Times New Roman" w:cs="Times New Roman"/>
          <w:sz w:val="24"/>
          <w:szCs w:val="24"/>
          <w:lang w:val="sr-Cyrl-RS"/>
        </w:rPr>
        <w:t xml:space="preserve"> </w:t>
      </w:r>
      <w:r w:rsidRPr="00D464FE">
        <w:rPr>
          <w:rFonts w:ascii="Times New Roman" w:hAnsi="Times New Roman" w:cs="Times New Roman"/>
          <w:sz w:val="24"/>
          <w:szCs w:val="24"/>
          <w:lang w:val="sr-Cyrl-RS"/>
        </w:rPr>
        <w:t>године до 08.05.2015.</w:t>
      </w:r>
      <w:r w:rsidR="00ED51B2">
        <w:rPr>
          <w:rFonts w:ascii="Times New Roman" w:hAnsi="Times New Roman" w:cs="Times New Roman"/>
          <w:sz w:val="24"/>
          <w:szCs w:val="24"/>
          <w:lang w:val="sr-Cyrl-RS"/>
        </w:rPr>
        <w:t xml:space="preserve"> </w:t>
      </w:r>
      <w:r w:rsidRPr="00D464FE">
        <w:rPr>
          <w:rFonts w:ascii="Times New Roman" w:hAnsi="Times New Roman" w:cs="Times New Roman"/>
          <w:sz w:val="24"/>
          <w:szCs w:val="24"/>
          <w:lang w:val="sr-Cyrl-RS"/>
        </w:rPr>
        <w:t>године.</w:t>
      </w:r>
    </w:p>
    <w:p w:rsidR="00D464FE" w:rsidRPr="00D464FE" w:rsidRDefault="00D464FE" w:rsidP="00D464FE">
      <w:pPr>
        <w:spacing w:line="360" w:lineRule="auto"/>
        <w:jc w:val="both"/>
        <w:rPr>
          <w:rFonts w:ascii="Times New Roman" w:hAnsi="Times New Roman" w:cs="Times New Roman"/>
          <w:sz w:val="24"/>
          <w:szCs w:val="24"/>
          <w:lang w:val="sr-Cyrl-RS"/>
        </w:rPr>
      </w:pPr>
      <w:r w:rsidRPr="00D464FE">
        <w:rPr>
          <w:rFonts w:ascii="Times New Roman" w:hAnsi="Times New Roman" w:cs="Times New Roman"/>
          <w:sz w:val="24"/>
          <w:szCs w:val="24"/>
          <w:lang w:val="sr-Cyrl-RS"/>
        </w:rPr>
        <w:t>Разлика је настала због износа минималне зараде која у признатим потраживањима обрачуната на износ од 115,00 динара,  односно на износ од 121,00 динара, по радном часу</w:t>
      </w:r>
      <w:r w:rsidR="00C77A81">
        <w:rPr>
          <w:rFonts w:ascii="Times New Roman" w:hAnsi="Times New Roman" w:cs="Times New Roman"/>
          <w:sz w:val="24"/>
          <w:szCs w:val="24"/>
          <w:lang w:val="sr-Cyrl-RS"/>
        </w:rPr>
        <w:t>,</w:t>
      </w:r>
      <w:r w:rsidRPr="00D464FE">
        <w:rPr>
          <w:rFonts w:ascii="Times New Roman" w:hAnsi="Times New Roman" w:cs="Times New Roman"/>
          <w:sz w:val="24"/>
          <w:szCs w:val="24"/>
          <w:lang w:val="sr-Cyrl-RS"/>
        </w:rPr>
        <w:t xml:space="preserve"> а Фонд солидарности је исплатио минималне зараде</w:t>
      </w:r>
      <w:r w:rsidR="00C77A81">
        <w:rPr>
          <w:rFonts w:ascii="Times New Roman" w:hAnsi="Times New Roman" w:cs="Times New Roman"/>
          <w:sz w:val="24"/>
          <w:szCs w:val="24"/>
          <w:lang w:val="sr-Cyrl-RS"/>
        </w:rPr>
        <w:t xml:space="preserve"> која је</w:t>
      </w:r>
      <w:r w:rsidRPr="00D464FE">
        <w:rPr>
          <w:rFonts w:ascii="Times New Roman" w:hAnsi="Times New Roman" w:cs="Times New Roman"/>
          <w:sz w:val="24"/>
          <w:szCs w:val="24"/>
          <w:lang w:val="sr-Cyrl-RS"/>
        </w:rPr>
        <w:t xml:space="preserve"> обрачуната са вредношћу радног часа на дан исплате, а што износи 130,00 динара (прописана минимална цена рада по часу за 2017.</w:t>
      </w:r>
      <w:r w:rsidR="00C77A81">
        <w:rPr>
          <w:rFonts w:ascii="Times New Roman" w:hAnsi="Times New Roman" w:cs="Times New Roman"/>
          <w:sz w:val="24"/>
          <w:szCs w:val="24"/>
          <w:lang w:val="sr-Cyrl-RS"/>
        </w:rPr>
        <w:t xml:space="preserve"> </w:t>
      </w:r>
      <w:r w:rsidRPr="00D464FE">
        <w:rPr>
          <w:rFonts w:ascii="Times New Roman" w:hAnsi="Times New Roman" w:cs="Times New Roman"/>
          <w:sz w:val="24"/>
          <w:szCs w:val="24"/>
          <w:lang w:val="sr-Cyrl-RS"/>
        </w:rPr>
        <w:t>годину).</w:t>
      </w:r>
    </w:p>
    <w:p w:rsidR="00D464FE" w:rsidRDefault="00D464FE" w:rsidP="00D464FE">
      <w:pPr>
        <w:spacing w:line="360" w:lineRule="auto"/>
        <w:jc w:val="both"/>
        <w:rPr>
          <w:rFonts w:ascii="Times New Roman" w:hAnsi="Times New Roman" w:cs="Times New Roman"/>
          <w:sz w:val="24"/>
          <w:szCs w:val="24"/>
          <w:lang w:val="sr-Cyrl-RS"/>
        </w:rPr>
      </w:pPr>
      <w:r w:rsidRPr="00D464FE">
        <w:rPr>
          <w:rFonts w:ascii="Times New Roman" w:hAnsi="Times New Roman" w:cs="Times New Roman"/>
          <w:sz w:val="24"/>
          <w:szCs w:val="24"/>
          <w:lang w:val="sr-Cyrl-RS"/>
        </w:rPr>
        <w:t xml:space="preserve">Имајући у виду наведено, </w:t>
      </w:r>
      <w:r w:rsidR="00ED51B2">
        <w:rPr>
          <w:rFonts w:ascii="Times New Roman" w:hAnsi="Times New Roman" w:cs="Times New Roman"/>
          <w:sz w:val="24"/>
          <w:szCs w:val="24"/>
          <w:lang w:val="sr-Cyrl-RS"/>
        </w:rPr>
        <w:t>Фонд солидарности</w:t>
      </w:r>
      <w:r w:rsidRPr="00D464FE">
        <w:rPr>
          <w:rFonts w:ascii="Times New Roman" w:hAnsi="Times New Roman" w:cs="Times New Roman"/>
          <w:sz w:val="24"/>
          <w:szCs w:val="24"/>
          <w:lang w:val="sr-Cyrl-RS"/>
        </w:rPr>
        <w:t xml:space="preserve"> може у </w:t>
      </w:r>
      <w:r w:rsidR="00ED51B2">
        <w:rPr>
          <w:rFonts w:ascii="Times New Roman" w:hAnsi="Times New Roman" w:cs="Times New Roman"/>
          <w:sz w:val="24"/>
          <w:szCs w:val="24"/>
          <w:lang w:val="sr-Cyrl-RS"/>
        </w:rPr>
        <w:t xml:space="preserve">овом </w:t>
      </w:r>
      <w:r w:rsidRPr="00D464FE">
        <w:rPr>
          <w:rFonts w:ascii="Times New Roman" w:hAnsi="Times New Roman" w:cs="Times New Roman"/>
          <w:sz w:val="24"/>
          <w:szCs w:val="24"/>
          <w:lang w:val="sr-Cyrl-RS"/>
        </w:rPr>
        <w:t xml:space="preserve">стечајном поступку ступити на место повериоца </w:t>
      </w:r>
      <w:r w:rsidR="00ED51B2">
        <w:rPr>
          <w:rFonts w:ascii="Times New Roman" w:hAnsi="Times New Roman" w:cs="Times New Roman"/>
          <w:sz w:val="24"/>
          <w:szCs w:val="24"/>
          <w:lang w:val="sr-Cyrl-RS"/>
        </w:rPr>
        <w:t>Петра Петровића</w:t>
      </w:r>
      <w:r w:rsidRPr="00D464FE">
        <w:rPr>
          <w:rFonts w:ascii="Times New Roman" w:hAnsi="Times New Roman" w:cs="Times New Roman"/>
          <w:sz w:val="24"/>
          <w:szCs w:val="24"/>
          <w:lang w:val="sr-Cyrl-RS"/>
        </w:rPr>
        <w:t xml:space="preserve"> за износ</w:t>
      </w:r>
      <w:r w:rsidR="00ED51B2">
        <w:rPr>
          <w:rFonts w:ascii="Times New Roman" w:hAnsi="Times New Roman" w:cs="Times New Roman"/>
          <w:sz w:val="24"/>
          <w:szCs w:val="24"/>
          <w:lang w:val="sr-Cyrl-RS"/>
        </w:rPr>
        <w:t xml:space="preserve"> од </w:t>
      </w:r>
      <w:r w:rsidRPr="00D464FE">
        <w:rPr>
          <w:rFonts w:ascii="Times New Roman" w:hAnsi="Times New Roman" w:cs="Times New Roman"/>
          <w:sz w:val="24"/>
          <w:szCs w:val="24"/>
          <w:lang w:val="sr-Cyrl-RS"/>
        </w:rPr>
        <w:t xml:space="preserve">99.128,00 динара на име потраживања у I исплатном реду. </w:t>
      </w:r>
      <w:r w:rsidR="00ED51B2">
        <w:rPr>
          <w:rFonts w:ascii="Times New Roman" w:hAnsi="Times New Roman" w:cs="Times New Roman"/>
          <w:sz w:val="24"/>
          <w:szCs w:val="24"/>
          <w:lang w:val="sr-Cyrl-RS"/>
        </w:rPr>
        <w:t xml:space="preserve">Док за износ од </w:t>
      </w:r>
      <w:r w:rsidR="00ED51B2" w:rsidRPr="00D464FE">
        <w:rPr>
          <w:rFonts w:ascii="Times New Roman" w:hAnsi="Times New Roman" w:cs="Times New Roman"/>
          <w:sz w:val="24"/>
          <w:szCs w:val="24"/>
          <w:lang w:val="sr-Cyrl-RS"/>
        </w:rPr>
        <w:t>7.992,00 динара</w:t>
      </w:r>
      <w:r w:rsidRPr="00D464FE">
        <w:rPr>
          <w:rFonts w:ascii="Times New Roman" w:hAnsi="Times New Roman" w:cs="Times New Roman"/>
          <w:sz w:val="24"/>
          <w:szCs w:val="24"/>
          <w:lang w:val="sr-Cyrl-RS"/>
        </w:rPr>
        <w:t xml:space="preserve"> Фонд солидарности не може ступити  на место повериоца </w:t>
      </w:r>
      <w:r w:rsidR="00ED51B2">
        <w:rPr>
          <w:rFonts w:ascii="Times New Roman" w:hAnsi="Times New Roman" w:cs="Times New Roman"/>
          <w:sz w:val="24"/>
          <w:szCs w:val="24"/>
          <w:lang w:val="sr-Cyrl-RS"/>
        </w:rPr>
        <w:t>Петра Петровића</w:t>
      </w:r>
      <w:r w:rsidRPr="00D464FE">
        <w:rPr>
          <w:rFonts w:ascii="Times New Roman" w:hAnsi="Times New Roman" w:cs="Times New Roman"/>
          <w:sz w:val="24"/>
          <w:szCs w:val="24"/>
          <w:lang w:val="sr-Cyrl-RS"/>
        </w:rPr>
        <w:t>.</w:t>
      </w:r>
    </w:p>
    <w:p w:rsidR="00ED51B2" w:rsidRDefault="00ED51B2" w:rsidP="00254325">
      <w:pPr>
        <w:spacing w:line="360" w:lineRule="auto"/>
        <w:jc w:val="both"/>
        <w:rPr>
          <w:rFonts w:ascii="Times New Roman" w:hAnsi="Times New Roman" w:cs="Times New Roman"/>
          <w:sz w:val="24"/>
          <w:szCs w:val="24"/>
          <w:lang w:val="sr-Cyrl-RS"/>
        </w:rPr>
      </w:pPr>
    </w:p>
    <w:p w:rsidR="00CF0F33" w:rsidRPr="00CF0F33" w:rsidRDefault="00CF0F33" w:rsidP="00CF0F33">
      <w:pPr>
        <w:pStyle w:val="ListParagraph"/>
        <w:spacing w:line="360" w:lineRule="auto"/>
        <w:jc w:val="center"/>
        <w:rPr>
          <w:rFonts w:ascii="Times New Roman" w:hAnsi="Times New Roman" w:cs="Times New Roman"/>
          <w:sz w:val="28"/>
          <w:szCs w:val="28"/>
          <w:lang w:val="sr-Cyrl-RS"/>
        </w:rPr>
      </w:pPr>
      <w:r w:rsidRPr="00CF0F33">
        <w:rPr>
          <w:rFonts w:ascii="Times New Roman" w:hAnsi="Times New Roman" w:cs="Times New Roman"/>
          <w:b/>
          <w:sz w:val="28"/>
          <w:szCs w:val="28"/>
          <w:lang w:val="sr-Cyrl-CS"/>
        </w:rPr>
        <w:lastRenderedPageBreak/>
        <w:t>Пренос потраживања према стечајном дужнику након доношења решења о главној деоби</w:t>
      </w:r>
    </w:p>
    <w:p w:rsidR="00F349D0" w:rsidRPr="00CA789F" w:rsidRDefault="00F349D0" w:rsidP="00254325">
      <w:pPr>
        <w:spacing w:line="360" w:lineRule="auto"/>
        <w:jc w:val="both"/>
        <w:rPr>
          <w:rFonts w:ascii="Times New Roman" w:hAnsi="Times New Roman" w:cs="Times New Roman"/>
          <w:sz w:val="24"/>
          <w:szCs w:val="24"/>
          <w:lang w:val="sr-Cyrl-RS"/>
        </w:rPr>
      </w:pPr>
    </w:p>
    <w:p w:rsidR="00352190" w:rsidRPr="001368B1" w:rsidRDefault="001368B1" w:rsidP="00254325">
      <w:pPr>
        <w:spacing w:line="360" w:lineRule="auto"/>
        <w:jc w:val="both"/>
        <w:rPr>
          <w:rFonts w:ascii="Times New Roman" w:hAnsi="Times New Roman" w:cs="Times New Roman"/>
          <w:sz w:val="24"/>
          <w:szCs w:val="24"/>
          <w:lang w:val="sr-Cyrl-CS"/>
        </w:rPr>
      </w:pPr>
      <w:r w:rsidRPr="001368B1">
        <w:rPr>
          <w:rFonts w:ascii="Times New Roman" w:hAnsi="Times New Roman" w:cs="Times New Roman"/>
          <w:sz w:val="24"/>
          <w:szCs w:val="24"/>
          <w:lang w:val="sr-Cyrl-CS"/>
        </w:rPr>
        <w:t>Пр</w:t>
      </w:r>
      <w:r w:rsidR="00934BD5">
        <w:rPr>
          <w:rFonts w:ascii="Times New Roman" w:hAnsi="Times New Roman" w:cs="Times New Roman"/>
          <w:sz w:val="24"/>
          <w:szCs w:val="24"/>
          <w:lang w:val="sr-Cyrl-CS"/>
        </w:rPr>
        <w:t>омена повериоца се може десити и</w:t>
      </w:r>
      <w:bookmarkStart w:id="0" w:name="_GoBack"/>
      <w:bookmarkEnd w:id="0"/>
      <w:r w:rsidRPr="001368B1">
        <w:rPr>
          <w:rFonts w:ascii="Times New Roman" w:hAnsi="Times New Roman" w:cs="Times New Roman"/>
          <w:sz w:val="24"/>
          <w:szCs w:val="24"/>
          <w:lang w:val="sr-Cyrl-CS"/>
        </w:rPr>
        <w:t xml:space="preserve"> након доношења решења</w:t>
      </w:r>
      <w:r w:rsidR="00352190" w:rsidRPr="001368B1">
        <w:rPr>
          <w:rFonts w:ascii="Times New Roman" w:hAnsi="Times New Roman" w:cs="Times New Roman"/>
          <w:sz w:val="24"/>
          <w:szCs w:val="24"/>
          <w:lang w:val="sr-Cyrl-CS"/>
        </w:rPr>
        <w:t xml:space="preserve"> о главној деоби</w:t>
      </w:r>
      <w:r w:rsidRPr="001368B1">
        <w:rPr>
          <w:rFonts w:ascii="Times New Roman" w:hAnsi="Times New Roman" w:cs="Times New Roman"/>
          <w:sz w:val="24"/>
          <w:szCs w:val="24"/>
          <w:lang w:val="sr-Cyrl-CS"/>
        </w:rPr>
        <w:t xml:space="preserve">, </w:t>
      </w:r>
      <w:r w:rsidR="00352190" w:rsidRPr="001368B1">
        <w:rPr>
          <w:rFonts w:ascii="Times New Roman" w:hAnsi="Times New Roman" w:cs="Times New Roman"/>
          <w:sz w:val="24"/>
          <w:szCs w:val="24"/>
          <w:lang w:val="sr-Cyrl-CS"/>
        </w:rPr>
        <w:t xml:space="preserve">односно после правноснажности истог. Како правноснажно решење о главној деоби заправо представља извршну исправу, чије се извршење и спроводи у поступку исплате по наведеном решењу, то према становишту судске праксе цесија која је извршена после правноснажности наведеног решења, не може да доведе до промене самог решења на захтев новог повериоца, а извршење истог се мора извршити у складу са одредбама Закона о извршењу и обезбеђењу односно на начин који наведени Закон прописује извршење у случају промене повериоца после доношења извршне исправе. </w:t>
      </w:r>
    </w:p>
    <w:p w:rsidR="001368B1" w:rsidRDefault="001368B1" w:rsidP="00254325">
      <w:pPr>
        <w:spacing w:line="360" w:lineRule="auto"/>
        <w:ind w:right="108"/>
        <w:jc w:val="both"/>
        <w:rPr>
          <w:lang w:val="sr-Cyrl-CS"/>
        </w:rPr>
      </w:pPr>
    </w:p>
    <w:p w:rsidR="00E31349" w:rsidRPr="00734D99" w:rsidRDefault="00E31349" w:rsidP="00254325">
      <w:pPr>
        <w:spacing w:line="360" w:lineRule="auto"/>
        <w:jc w:val="both"/>
        <w:rPr>
          <w:rFonts w:ascii="Times New Roman" w:hAnsi="Times New Roman" w:cs="Times New Roman"/>
          <w:sz w:val="28"/>
          <w:szCs w:val="28"/>
          <w:lang w:val="sr-Cyrl-RS"/>
        </w:rPr>
      </w:pPr>
    </w:p>
    <w:sectPr w:rsidR="00E31349" w:rsidRPr="00734D99" w:rsidSect="006C632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DC" w:rsidRDefault="00B60ADC" w:rsidP="00FF697E">
      <w:pPr>
        <w:spacing w:after="0" w:line="240" w:lineRule="auto"/>
      </w:pPr>
      <w:r>
        <w:separator/>
      </w:r>
    </w:p>
  </w:endnote>
  <w:endnote w:type="continuationSeparator" w:id="0">
    <w:p w:rsidR="00B60ADC" w:rsidRDefault="00B60ADC" w:rsidP="00F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904135"/>
      <w:docPartObj>
        <w:docPartGallery w:val="Page Numbers (Bottom of Page)"/>
        <w:docPartUnique/>
      </w:docPartObj>
    </w:sdtPr>
    <w:sdtEndPr>
      <w:rPr>
        <w:noProof/>
      </w:rPr>
    </w:sdtEndPr>
    <w:sdtContent>
      <w:p w:rsidR="009B27F0" w:rsidRDefault="00985CEB">
        <w:pPr>
          <w:pStyle w:val="Footer"/>
          <w:jc w:val="right"/>
        </w:pPr>
        <w:r>
          <w:fldChar w:fldCharType="begin"/>
        </w:r>
        <w:r w:rsidR="009B27F0">
          <w:instrText xml:space="preserve"> PAGE   \* MERGEFORMAT </w:instrText>
        </w:r>
        <w:r>
          <w:fldChar w:fldCharType="separate"/>
        </w:r>
        <w:r w:rsidR="006542CE">
          <w:rPr>
            <w:noProof/>
          </w:rPr>
          <w:t>12</w:t>
        </w:r>
        <w:r>
          <w:rPr>
            <w:noProof/>
          </w:rPr>
          <w:fldChar w:fldCharType="end"/>
        </w:r>
      </w:p>
    </w:sdtContent>
  </w:sdt>
  <w:p w:rsidR="009B27F0" w:rsidRDefault="009B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DC" w:rsidRDefault="00B60ADC" w:rsidP="00FF697E">
      <w:pPr>
        <w:spacing w:after="0" w:line="240" w:lineRule="auto"/>
      </w:pPr>
      <w:r>
        <w:separator/>
      </w:r>
    </w:p>
  </w:footnote>
  <w:footnote w:type="continuationSeparator" w:id="0">
    <w:p w:rsidR="00B60ADC" w:rsidRDefault="00B60ADC" w:rsidP="00FF6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7E" w:rsidRPr="00171076" w:rsidRDefault="00171076">
    <w:pPr>
      <w:pStyle w:val="Header"/>
      <w:pBdr>
        <w:bottom w:val="thickThinSmallGap" w:sz="24" w:space="1" w:color="622423" w:themeColor="accent2" w:themeShade="7F"/>
      </w:pBdr>
      <w:jc w:val="center"/>
      <w:rPr>
        <w:rFonts w:asciiTheme="majorHAnsi" w:eastAsiaTheme="majorEastAsia" w:hAnsiTheme="majorHAnsi" w:cstheme="majorBidi"/>
        <w:lang w:val="sr-Cyrl-RS"/>
      </w:rPr>
    </w:pPr>
    <w:r>
      <w:rPr>
        <w:rFonts w:asciiTheme="majorHAnsi" w:eastAsiaTheme="majorEastAsia" w:hAnsiTheme="majorHAnsi" w:cstheme="majorBidi"/>
        <w:i/>
        <w:lang w:val="sr-Cyrl-RS"/>
      </w:rPr>
      <w:t>Пренос потраживања према стечајном дужнику</w:t>
    </w:r>
  </w:p>
  <w:p w:rsidR="00FF697E" w:rsidRDefault="00FF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EC6"/>
    <w:multiLevelType w:val="hybridMultilevel"/>
    <w:tmpl w:val="A426C9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ACF5986"/>
    <w:multiLevelType w:val="hybridMultilevel"/>
    <w:tmpl w:val="559A68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F751C85"/>
    <w:multiLevelType w:val="hybridMultilevel"/>
    <w:tmpl w:val="4BBE34B2"/>
    <w:lvl w:ilvl="0" w:tplc="345658F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7B33EF"/>
    <w:multiLevelType w:val="hybridMultilevel"/>
    <w:tmpl w:val="07A6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22D3297"/>
    <w:multiLevelType w:val="hybridMultilevel"/>
    <w:tmpl w:val="BF0E19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D7244"/>
    <w:multiLevelType w:val="hybridMultilevel"/>
    <w:tmpl w:val="CF5230EE"/>
    <w:lvl w:ilvl="0" w:tplc="241A0001">
      <w:start w:val="1"/>
      <w:numFmt w:val="bullet"/>
      <w:lvlText w:val=""/>
      <w:lvlJc w:val="left"/>
      <w:pPr>
        <w:ind w:left="1419" w:hanging="360"/>
      </w:pPr>
      <w:rPr>
        <w:rFonts w:ascii="Symbol" w:hAnsi="Symbol" w:hint="default"/>
      </w:rPr>
    </w:lvl>
    <w:lvl w:ilvl="1" w:tplc="241A0003" w:tentative="1">
      <w:start w:val="1"/>
      <w:numFmt w:val="bullet"/>
      <w:lvlText w:val="o"/>
      <w:lvlJc w:val="left"/>
      <w:pPr>
        <w:ind w:left="2139" w:hanging="360"/>
      </w:pPr>
      <w:rPr>
        <w:rFonts w:ascii="Courier New" w:hAnsi="Courier New" w:cs="Courier New" w:hint="default"/>
      </w:rPr>
    </w:lvl>
    <w:lvl w:ilvl="2" w:tplc="241A0005" w:tentative="1">
      <w:start w:val="1"/>
      <w:numFmt w:val="bullet"/>
      <w:lvlText w:val=""/>
      <w:lvlJc w:val="left"/>
      <w:pPr>
        <w:ind w:left="2859" w:hanging="360"/>
      </w:pPr>
      <w:rPr>
        <w:rFonts w:ascii="Wingdings" w:hAnsi="Wingdings" w:hint="default"/>
      </w:rPr>
    </w:lvl>
    <w:lvl w:ilvl="3" w:tplc="241A0001" w:tentative="1">
      <w:start w:val="1"/>
      <w:numFmt w:val="bullet"/>
      <w:lvlText w:val=""/>
      <w:lvlJc w:val="left"/>
      <w:pPr>
        <w:ind w:left="3579" w:hanging="360"/>
      </w:pPr>
      <w:rPr>
        <w:rFonts w:ascii="Symbol" w:hAnsi="Symbol" w:hint="default"/>
      </w:rPr>
    </w:lvl>
    <w:lvl w:ilvl="4" w:tplc="241A0003" w:tentative="1">
      <w:start w:val="1"/>
      <w:numFmt w:val="bullet"/>
      <w:lvlText w:val="o"/>
      <w:lvlJc w:val="left"/>
      <w:pPr>
        <w:ind w:left="4299" w:hanging="360"/>
      </w:pPr>
      <w:rPr>
        <w:rFonts w:ascii="Courier New" w:hAnsi="Courier New" w:cs="Courier New" w:hint="default"/>
      </w:rPr>
    </w:lvl>
    <w:lvl w:ilvl="5" w:tplc="241A0005" w:tentative="1">
      <w:start w:val="1"/>
      <w:numFmt w:val="bullet"/>
      <w:lvlText w:val=""/>
      <w:lvlJc w:val="left"/>
      <w:pPr>
        <w:ind w:left="5019" w:hanging="360"/>
      </w:pPr>
      <w:rPr>
        <w:rFonts w:ascii="Wingdings" w:hAnsi="Wingdings" w:hint="default"/>
      </w:rPr>
    </w:lvl>
    <w:lvl w:ilvl="6" w:tplc="241A0001" w:tentative="1">
      <w:start w:val="1"/>
      <w:numFmt w:val="bullet"/>
      <w:lvlText w:val=""/>
      <w:lvlJc w:val="left"/>
      <w:pPr>
        <w:ind w:left="5739" w:hanging="360"/>
      </w:pPr>
      <w:rPr>
        <w:rFonts w:ascii="Symbol" w:hAnsi="Symbol" w:hint="default"/>
      </w:rPr>
    </w:lvl>
    <w:lvl w:ilvl="7" w:tplc="241A0003" w:tentative="1">
      <w:start w:val="1"/>
      <w:numFmt w:val="bullet"/>
      <w:lvlText w:val="o"/>
      <w:lvlJc w:val="left"/>
      <w:pPr>
        <w:ind w:left="6459" w:hanging="360"/>
      </w:pPr>
      <w:rPr>
        <w:rFonts w:ascii="Courier New" w:hAnsi="Courier New" w:cs="Courier New" w:hint="default"/>
      </w:rPr>
    </w:lvl>
    <w:lvl w:ilvl="8" w:tplc="241A0005" w:tentative="1">
      <w:start w:val="1"/>
      <w:numFmt w:val="bullet"/>
      <w:lvlText w:val=""/>
      <w:lvlJc w:val="left"/>
      <w:pPr>
        <w:ind w:left="7179" w:hanging="360"/>
      </w:pPr>
      <w:rPr>
        <w:rFonts w:ascii="Wingdings" w:hAnsi="Wingdings" w:hint="default"/>
      </w:rPr>
    </w:lvl>
  </w:abstractNum>
  <w:abstractNum w:abstractNumId="6">
    <w:nsid w:val="514D3593"/>
    <w:multiLevelType w:val="hybridMultilevel"/>
    <w:tmpl w:val="F91C2FC0"/>
    <w:lvl w:ilvl="0" w:tplc="143A7C96">
      <w:start w:val="1"/>
      <w:numFmt w:val="bullet"/>
      <w:lvlText w:val=""/>
      <w:lvlJc w:val="left"/>
      <w:pPr>
        <w:ind w:left="1059" w:hanging="360"/>
      </w:pPr>
      <w:rPr>
        <w:rFonts w:ascii="Symbol" w:hAnsi="Symbol" w:hint="default"/>
      </w:rPr>
    </w:lvl>
    <w:lvl w:ilvl="1" w:tplc="281A0003" w:tentative="1">
      <w:start w:val="1"/>
      <w:numFmt w:val="bullet"/>
      <w:lvlText w:val="o"/>
      <w:lvlJc w:val="left"/>
      <w:pPr>
        <w:ind w:left="1779" w:hanging="360"/>
      </w:pPr>
      <w:rPr>
        <w:rFonts w:ascii="Courier New" w:hAnsi="Courier New" w:cs="Courier New" w:hint="default"/>
      </w:rPr>
    </w:lvl>
    <w:lvl w:ilvl="2" w:tplc="281A0005" w:tentative="1">
      <w:start w:val="1"/>
      <w:numFmt w:val="bullet"/>
      <w:lvlText w:val=""/>
      <w:lvlJc w:val="left"/>
      <w:pPr>
        <w:ind w:left="2499" w:hanging="360"/>
      </w:pPr>
      <w:rPr>
        <w:rFonts w:ascii="Wingdings" w:hAnsi="Wingdings" w:hint="default"/>
      </w:rPr>
    </w:lvl>
    <w:lvl w:ilvl="3" w:tplc="281A0001" w:tentative="1">
      <w:start w:val="1"/>
      <w:numFmt w:val="bullet"/>
      <w:lvlText w:val=""/>
      <w:lvlJc w:val="left"/>
      <w:pPr>
        <w:ind w:left="3219" w:hanging="360"/>
      </w:pPr>
      <w:rPr>
        <w:rFonts w:ascii="Symbol" w:hAnsi="Symbol" w:hint="default"/>
      </w:rPr>
    </w:lvl>
    <w:lvl w:ilvl="4" w:tplc="281A0003" w:tentative="1">
      <w:start w:val="1"/>
      <w:numFmt w:val="bullet"/>
      <w:lvlText w:val="o"/>
      <w:lvlJc w:val="left"/>
      <w:pPr>
        <w:ind w:left="3939" w:hanging="360"/>
      </w:pPr>
      <w:rPr>
        <w:rFonts w:ascii="Courier New" w:hAnsi="Courier New" w:cs="Courier New" w:hint="default"/>
      </w:rPr>
    </w:lvl>
    <w:lvl w:ilvl="5" w:tplc="281A0005" w:tentative="1">
      <w:start w:val="1"/>
      <w:numFmt w:val="bullet"/>
      <w:lvlText w:val=""/>
      <w:lvlJc w:val="left"/>
      <w:pPr>
        <w:ind w:left="4659" w:hanging="360"/>
      </w:pPr>
      <w:rPr>
        <w:rFonts w:ascii="Wingdings" w:hAnsi="Wingdings" w:hint="default"/>
      </w:rPr>
    </w:lvl>
    <w:lvl w:ilvl="6" w:tplc="281A0001" w:tentative="1">
      <w:start w:val="1"/>
      <w:numFmt w:val="bullet"/>
      <w:lvlText w:val=""/>
      <w:lvlJc w:val="left"/>
      <w:pPr>
        <w:ind w:left="5379" w:hanging="360"/>
      </w:pPr>
      <w:rPr>
        <w:rFonts w:ascii="Symbol" w:hAnsi="Symbol" w:hint="default"/>
      </w:rPr>
    </w:lvl>
    <w:lvl w:ilvl="7" w:tplc="281A0003" w:tentative="1">
      <w:start w:val="1"/>
      <w:numFmt w:val="bullet"/>
      <w:lvlText w:val="o"/>
      <w:lvlJc w:val="left"/>
      <w:pPr>
        <w:ind w:left="6099" w:hanging="360"/>
      </w:pPr>
      <w:rPr>
        <w:rFonts w:ascii="Courier New" w:hAnsi="Courier New" w:cs="Courier New" w:hint="default"/>
      </w:rPr>
    </w:lvl>
    <w:lvl w:ilvl="8" w:tplc="281A0005" w:tentative="1">
      <w:start w:val="1"/>
      <w:numFmt w:val="bullet"/>
      <w:lvlText w:val=""/>
      <w:lvlJc w:val="left"/>
      <w:pPr>
        <w:ind w:left="6819" w:hanging="360"/>
      </w:pPr>
      <w:rPr>
        <w:rFonts w:ascii="Wingdings" w:hAnsi="Wingdings" w:hint="default"/>
      </w:rPr>
    </w:lvl>
  </w:abstractNum>
  <w:abstractNum w:abstractNumId="7">
    <w:nsid w:val="52A97552"/>
    <w:multiLevelType w:val="hybridMultilevel"/>
    <w:tmpl w:val="54C68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4E22F32"/>
    <w:multiLevelType w:val="hybridMultilevel"/>
    <w:tmpl w:val="F6ACDA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8504E50"/>
    <w:multiLevelType w:val="hybridMultilevel"/>
    <w:tmpl w:val="CD1AFF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28A0301"/>
    <w:multiLevelType w:val="hybridMultilevel"/>
    <w:tmpl w:val="20547BEE"/>
    <w:lvl w:ilvl="0" w:tplc="703C415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BBD7D16"/>
    <w:multiLevelType w:val="hybridMultilevel"/>
    <w:tmpl w:val="17CC6212"/>
    <w:lvl w:ilvl="0" w:tplc="241A0001">
      <w:start w:val="1"/>
      <w:numFmt w:val="bullet"/>
      <w:lvlText w:val=""/>
      <w:lvlJc w:val="left"/>
      <w:pPr>
        <w:ind w:left="705" w:hanging="360"/>
      </w:pPr>
      <w:rPr>
        <w:rFonts w:ascii="Symbol" w:hAnsi="Symbol" w:hint="default"/>
      </w:rPr>
    </w:lvl>
    <w:lvl w:ilvl="1" w:tplc="241A0003" w:tentative="1">
      <w:start w:val="1"/>
      <w:numFmt w:val="bullet"/>
      <w:lvlText w:val="o"/>
      <w:lvlJc w:val="left"/>
      <w:pPr>
        <w:ind w:left="1425" w:hanging="360"/>
      </w:pPr>
      <w:rPr>
        <w:rFonts w:ascii="Courier New" w:hAnsi="Courier New" w:cs="Courier New" w:hint="default"/>
      </w:rPr>
    </w:lvl>
    <w:lvl w:ilvl="2" w:tplc="241A0005" w:tentative="1">
      <w:start w:val="1"/>
      <w:numFmt w:val="bullet"/>
      <w:lvlText w:val=""/>
      <w:lvlJc w:val="left"/>
      <w:pPr>
        <w:ind w:left="2145" w:hanging="360"/>
      </w:pPr>
      <w:rPr>
        <w:rFonts w:ascii="Wingdings" w:hAnsi="Wingdings" w:hint="default"/>
      </w:rPr>
    </w:lvl>
    <w:lvl w:ilvl="3" w:tplc="241A0001" w:tentative="1">
      <w:start w:val="1"/>
      <w:numFmt w:val="bullet"/>
      <w:lvlText w:val=""/>
      <w:lvlJc w:val="left"/>
      <w:pPr>
        <w:ind w:left="2865" w:hanging="360"/>
      </w:pPr>
      <w:rPr>
        <w:rFonts w:ascii="Symbol" w:hAnsi="Symbol" w:hint="default"/>
      </w:rPr>
    </w:lvl>
    <w:lvl w:ilvl="4" w:tplc="241A0003" w:tentative="1">
      <w:start w:val="1"/>
      <w:numFmt w:val="bullet"/>
      <w:lvlText w:val="o"/>
      <w:lvlJc w:val="left"/>
      <w:pPr>
        <w:ind w:left="3585" w:hanging="360"/>
      </w:pPr>
      <w:rPr>
        <w:rFonts w:ascii="Courier New" w:hAnsi="Courier New" w:cs="Courier New" w:hint="default"/>
      </w:rPr>
    </w:lvl>
    <w:lvl w:ilvl="5" w:tplc="241A0005" w:tentative="1">
      <w:start w:val="1"/>
      <w:numFmt w:val="bullet"/>
      <w:lvlText w:val=""/>
      <w:lvlJc w:val="left"/>
      <w:pPr>
        <w:ind w:left="4305" w:hanging="360"/>
      </w:pPr>
      <w:rPr>
        <w:rFonts w:ascii="Wingdings" w:hAnsi="Wingdings" w:hint="default"/>
      </w:rPr>
    </w:lvl>
    <w:lvl w:ilvl="6" w:tplc="241A0001" w:tentative="1">
      <w:start w:val="1"/>
      <w:numFmt w:val="bullet"/>
      <w:lvlText w:val=""/>
      <w:lvlJc w:val="left"/>
      <w:pPr>
        <w:ind w:left="5025" w:hanging="360"/>
      </w:pPr>
      <w:rPr>
        <w:rFonts w:ascii="Symbol" w:hAnsi="Symbol" w:hint="default"/>
      </w:rPr>
    </w:lvl>
    <w:lvl w:ilvl="7" w:tplc="241A0003" w:tentative="1">
      <w:start w:val="1"/>
      <w:numFmt w:val="bullet"/>
      <w:lvlText w:val="o"/>
      <w:lvlJc w:val="left"/>
      <w:pPr>
        <w:ind w:left="5745" w:hanging="360"/>
      </w:pPr>
      <w:rPr>
        <w:rFonts w:ascii="Courier New" w:hAnsi="Courier New" w:cs="Courier New" w:hint="default"/>
      </w:rPr>
    </w:lvl>
    <w:lvl w:ilvl="8" w:tplc="241A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10"/>
  </w:num>
  <w:num w:numId="6">
    <w:abstractNumId w:val="11"/>
  </w:num>
  <w:num w:numId="7">
    <w:abstractNumId w:val="6"/>
  </w:num>
  <w:num w:numId="8">
    <w:abstractNumId w:val="5"/>
  </w:num>
  <w:num w:numId="9">
    <w:abstractNumId w:val="0"/>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DC"/>
    <w:rsid w:val="000163A2"/>
    <w:rsid w:val="0002589E"/>
    <w:rsid w:val="000379D5"/>
    <w:rsid w:val="00041F0A"/>
    <w:rsid w:val="0004641D"/>
    <w:rsid w:val="00057E72"/>
    <w:rsid w:val="000921FF"/>
    <w:rsid w:val="000A77E6"/>
    <w:rsid w:val="000B0CC6"/>
    <w:rsid w:val="000B1C46"/>
    <w:rsid w:val="000C0D33"/>
    <w:rsid w:val="000C1389"/>
    <w:rsid w:val="000C3EAC"/>
    <w:rsid w:val="000E17D8"/>
    <w:rsid w:val="000E69A9"/>
    <w:rsid w:val="000F36DD"/>
    <w:rsid w:val="00104F86"/>
    <w:rsid w:val="001204DC"/>
    <w:rsid w:val="00123DCB"/>
    <w:rsid w:val="001273C2"/>
    <w:rsid w:val="00130641"/>
    <w:rsid w:val="00132108"/>
    <w:rsid w:val="00134E91"/>
    <w:rsid w:val="001368B1"/>
    <w:rsid w:val="001451B7"/>
    <w:rsid w:val="00171076"/>
    <w:rsid w:val="00192707"/>
    <w:rsid w:val="001B0734"/>
    <w:rsid w:val="001B1744"/>
    <w:rsid w:val="001C6F63"/>
    <w:rsid w:val="001C72DC"/>
    <w:rsid w:val="001D1689"/>
    <w:rsid w:val="001D2FB2"/>
    <w:rsid w:val="001E6702"/>
    <w:rsid w:val="001F176B"/>
    <w:rsid w:val="002054B6"/>
    <w:rsid w:val="00220269"/>
    <w:rsid w:val="00247295"/>
    <w:rsid w:val="00251486"/>
    <w:rsid w:val="00254325"/>
    <w:rsid w:val="002645E1"/>
    <w:rsid w:val="002646D3"/>
    <w:rsid w:val="0029164A"/>
    <w:rsid w:val="002B071C"/>
    <w:rsid w:val="002D2F45"/>
    <w:rsid w:val="002E31C4"/>
    <w:rsid w:val="002F3152"/>
    <w:rsid w:val="0030025E"/>
    <w:rsid w:val="003123D0"/>
    <w:rsid w:val="00313005"/>
    <w:rsid w:val="00327EA3"/>
    <w:rsid w:val="00330A5A"/>
    <w:rsid w:val="00342BEA"/>
    <w:rsid w:val="00352190"/>
    <w:rsid w:val="00360DD4"/>
    <w:rsid w:val="00370BFC"/>
    <w:rsid w:val="003731A5"/>
    <w:rsid w:val="00380B3F"/>
    <w:rsid w:val="003A26D8"/>
    <w:rsid w:val="003B58BE"/>
    <w:rsid w:val="003C6A7D"/>
    <w:rsid w:val="003D28DB"/>
    <w:rsid w:val="003E0B1E"/>
    <w:rsid w:val="003F1D1A"/>
    <w:rsid w:val="003F1E6D"/>
    <w:rsid w:val="004110FE"/>
    <w:rsid w:val="004138BD"/>
    <w:rsid w:val="00421DFA"/>
    <w:rsid w:val="00425AA9"/>
    <w:rsid w:val="00426B93"/>
    <w:rsid w:val="00440C11"/>
    <w:rsid w:val="00462235"/>
    <w:rsid w:val="00475A09"/>
    <w:rsid w:val="00477D3E"/>
    <w:rsid w:val="004C13D7"/>
    <w:rsid w:val="004C2955"/>
    <w:rsid w:val="004F4182"/>
    <w:rsid w:val="0051184F"/>
    <w:rsid w:val="00511EDF"/>
    <w:rsid w:val="005220BD"/>
    <w:rsid w:val="0052279D"/>
    <w:rsid w:val="00523242"/>
    <w:rsid w:val="0053396F"/>
    <w:rsid w:val="00545165"/>
    <w:rsid w:val="0057783D"/>
    <w:rsid w:val="00583314"/>
    <w:rsid w:val="00595CFA"/>
    <w:rsid w:val="00596B44"/>
    <w:rsid w:val="005B5624"/>
    <w:rsid w:val="005B56E2"/>
    <w:rsid w:val="005C7803"/>
    <w:rsid w:val="005C7A5F"/>
    <w:rsid w:val="005E31CD"/>
    <w:rsid w:val="006031B2"/>
    <w:rsid w:val="00614B58"/>
    <w:rsid w:val="00625E6C"/>
    <w:rsid w:val="00637072"/>
    <w:rsid w:val="00643681"/>
    <w:rsid w:val="00644B13"/>
    <w:rsid w:val="006460FB"/>
    <w:rsid w:val="006542CE"/>
    <w:rsid w:val="006604EB"/>
    <w:rsid w:val="006709BC"/>
    <w:rsid w:val="0068412A"/>
    <w:rsid w:val="006B7A9C"/>
    <w:rsid w:val="006C6322"/>
    <w:rsid w:val="006D43FD"/>
    <w:rsid w:val="006D6C98"/>
    <w:rsid w:val="006E13F0"/>
    <w:rsid w:val="006E6DE1"/>
    <w:rsid w:val="006F19E7"/>
    <w:rsid w:val="00734D99"/>
    <w:rsid w:val="0077416A"/>
    <w:rsid w:val="00784C56"/>
    <w:rsid w:val="007A33B2"/>
    <w:rsid w:val="007A76BC"/>
    <w:rsid w:val="007B0F94"/>
    <w:rsid w:val="007C2642"/>
    <w:rsid w:val="007C57AF"/>
    <w:rsid w:val="007D1B4D"/>
    <w:rsid w:val="007E1389"/>
    <w:rsid w:val="007E6EE6"/>
    <w:rsid w:val="007F533D"/>
    <w:rsid w:val="00802871"/>
    <w:rsid w:val="00810149"/>
    <w:rsid w:val="00840E41"/>
    <w:rsid w:val="00850AAD"/>
    <w:rsid w:val="00870435"/>
    <w:rsid w:val="00875440"/>
    <w:rsid w:val="008874EE"/>
    <w:rsid w:val="00896530"/>
    <w:rsid w:val="008C0765"/>
    <w:rsid w:val="008C12E5"/>
    <w:rsid w:val="008F162A"/>
    <w:rsid w:val="008F340F"/>
    <w:rsid w:val="00900440"/>
    <w:rsid w:val="00900DFC"/>
    <w:rsid w:val="00934BD5"/>
    <w:rsid w:val="009414E9"/>
    <w:rsid w:val="00941A4C"/>
    <w:rsid w:val="00953E58"/>
    <w:rsid w:val="00966412"/>
    <w:rsid w:val="00985734"/>
    <w:rsid w:val="00985CEB"/>
    <w:rsid w:val="009A7D3F"/>
    <w:rsid w:val="009B27F0"/>
    <w:rsid w:val="009C7E47"/>
    <w:rsid w:val="009D2654"/>
    <w:rsid w:val="009D28CD"/>
    <w:rsid w:val="009F2C7F"/>
    <w:rsid w:val="00A045A2"/>
    <w:rsid w:val="00A0664C"/>
    <w:rsid w:val="00A0760E"/>
    <w:rsid w:val="00A34272"/>
    <w:rsid w:val="00A413E2"/>
    <w:rsid w:val="00A42F2C"/>
    <w:rsid w:val="00A435E0"/>
    <w:rsid w:val="00A50482"/>
    <w:rsid w:val="00A507C0"/>
    <w:rsid w:val="00A65A6E"/>
    <w:rsid w:val="00A70D3E"/>
    <w:rsid w:val="00A726E7"/>
    <w:rsid w:val="00A75533"/>
    <w:rsid w:val="00A85279"/>
    <w:rsid w:val="00AC5D29"/>
    <w:rsid w:val="00AD7C99"/>
    <w:rsid w:val="00AE0769"/>
    <w:rsid w:val="00AE1663"/>
    <w:rsid w:val="00AE7710"/>
    <w:rsid w:val="00B02EC6"/>
    <w:rsid w:val="00B27EE8"/>
    <w:rsid w:val="00B60ADC"/>
    <w:rsid w:val="00B7407D"/>
    <w:rsid w:val="00B816DE"/>
    <w:rsid w:val="00B826C4"/>
    <w:rsid w:val="00B83C19"/>
    <w:rsid w:val="00BB2DE5"/>
    <w:rsid w:val="00BD0287"/>
    <w:rsid w:val="00BE1792"/>
    <w:rsid w:val="00BE7BB9"/>
    <w:rsid w:val="00BF05B6"/>
    <w:rsid w:val="00BF4105"/>
    <w:rsid w:val="00C16E8B"/>
    <w:rsid w:val="00C32399"/>
    <w:rsid w:val="00C61ED0"/>
    <w:rsid w:val="00C630B3"/>
    <w:rsid w:val="00C675FE"/>
    <w:rsid w:val="00C70EA5"/>
    <w:rsid w:val="00C736F4"/>
    <w:rsid w:val="00C77A81"/>
    <w:rsid w:val="00CA6425"/>
    <w:rsid w:val="00CA789F"/>
    <w:rsid w:val="00CC067F"/>
    <w:rsid w:val="00CF0F33"/>
    <w:rsid w:val="00D01C4F"/>
    <w:rsid w:val="00D067A1"/>
    <w:rsid w:val="00D17CC2"/>
    <w:rsid w:val="00D24B34"/>
    <w:rsid w:val="00D24CE6"/>
    <w:rsid w:val="00D464FE"/>
    <w:rsid w:val="00D46AA4"/>
    <w:rsid w:val="00D67EA2"/>
    <w:rsid w:val="00D77EAC"/>
    <w:rsid w:val="00D91AD4"/>
    <w:rsid w:val="00D96AFC"/>
    <w:rsid w:val="00DA7822"/>
    <w:rsid w:val="00DB508B"/>
    <w:rsid w:val="00DC4DB4"/>
    <w:rsid w:val="00DD0B2F"/>
    <w:rsid w:val="00DD2B4B"/>
    <w:rsid w:val="00DD7DB6"/>
    <w:rsid w:val="00E1680E"/>
    <w:rsid w:val="00E31349"/>
    <w:rsid w:val="00E72528"/>
    <w:rsid w:val="00E77D97"/>
    <w:rsid w:val="00E8779C"/>
    <w:rsid w:val="00EA6332"/>
    <w:rsid w:val="00EB406F"/>
    <w:rsid w:val="00EB4D97"/>
    <w:rsid w:val="00ED51B2"/>
    <w:rsid w:val="00EE11A7"/>
    <w:rsid w:val="00EE2136"/>
    <w:rsid w:val="00EF4355"/>
    <w:rsid w:val="00EF43AE"/>
    <w:rsid w:val="00EF69CC"/>
    <w:rsid w:val="00EF7D36"/>
    <w:rsid w:val="00F01E5A"/>
    <w:rsid w:val="00F1379A"/>
    <w:rsid w:val="00F3484A"/>
    <w:rsid w:val="00F349D0"/>
    <w:rsid w:val="00F41DB2"/>
    <w:rsid w:val="00F72579"/>
    <w:rsid w:val="00F72A8F"/>
    <w:rsid w:val="00F72FB3"/>
    <w:rsid w:val="00F911A8"/>
    <w:rsid w:val="00F941A9"/>
    <w:rsid w:val="00F9643D"/>
    <w:rsid w:val="00FD26D9"/>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1DB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97E"/>
  </w:style>
  <w:style w:type="paragraph" w:styleId="Footer">
    <w:name w:val="footer"/>
    <w:basedOn w:val="Normal"/>
    <w:link w:val="FooterChar"/>
    <w:uiPriority w:val="99"/>
    <w:unhideWhenUsed/>
    <w:rsid w:val="00FF6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97E"/>
  </w:style>
  <w:style w:type="paragraph" w:styleId="BalloonText">
    <w:name w:val="Balloon Text"/>
    <w:basedOn w:val="Normal"/>
    <w:link w:val="BalloonTextChar"/>
    <w:uiPriority w:val="99"/>
    <w:semiHidden/>
    <w:unhideWhenUsed/>
    <w:rsid w:val="00F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E"/>
    <w:rPr>
      <w:rFonts w:ascii="Tahoma" w:hAnsi="Tahoma" w:cs="Tahoma"/>
      <w:sz w:val="16"/>
      <w:szCs w:val="16"/>
    </w:rPr>
  </w:style>
  <w:style w:type="paragraph" w:styleId="EndnoteText">
    <w:name w:val="endnote text"/>
    <w:basedOn w:val="Normal"/>
    <w:link w:val="EndnoteTextChar"/>
    <w:uiPriority w:val="99"/>
    <w:semiHidden/>
    <w:unhideWhenUsed/>
    <w:rsid w:val="00DB50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08B"/>
    <w:rPr>
      <w:sz w:val="20"/>
      <w:szCs w:val="20"/>
    </w:rPr>
  </w:style>
  <w:style w:type="character" w:styleId="EndnoteReference">
    <w:name w:val="endnote reference"/>
    <w:basedOn w:val="DefaultParagraphFont"/>
    <w:uiPriority w:val="99"/>
    <w:semiHidden/>
    <w:unhideWhenUsed/>
    <w:rsid w:val="00DB508B"/>
    <w:rPr>
      <w:vertAlign w:val="superscript"/>
    </w:rPr>
  </w:style>
  <w:style w:type="paragraph" w:styleId="FootnoteText">
    <w:name w:val="footnote text"/>
    <w:basedOn w:val="Normal"/>
    <w:link w:val="FootnoteTextChar"/>
    <w:uiPriority w:val="99"/>
    <w:semiHidden/>
    <w:unhideWhenUsed/>
    <w:rsid w:val="00DB5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08B"/>
    <w:rPr>
      <w:sz w:val="20"/>
      <w:szCs w:val="20"/>
    </w:rPr>
  </w:style>
  <w:style w:type="character" w:styleId="FootnoteReference">
    <w:name w:val="footnote reference"/>
    <w:basedOn w:val="DefaultParagraphFont"/>
    <w:uiPriority w:val="99"/>
    <w:semiHidden/>
    <w:unhideWhenUsed/>
    <w:rsid w:val="00DB508B"/>
    <w:rPr>
      <w:vertAlign w:val="superscript"/>
    </w:rPr>
  </w:style>
  <w:style w:type="paragraph" w:styleId="ListParagraph">
    <w:name w:val="List Paragraph"/>
    <w:basedOn w:val="Normal"/>
    <w:uiPriority w:val="34"/>
    <w:qFormat/>
    <w:rsid w:val="00644B13"/>
    <w:pPr>
      <w:ind w:left="720"/>
      <w:contextualSpacing/>
    </w:pPr>
  </w:style>
  <w:style w:type="character" w:customStyle="1" w:styleId="Heading2Char">
    <w:name w:val="Heading 2 Char"/>
    <w:basedOn w:val="DefaultParagraphFont"/>
    <w:link w:val="Heading2"/>
    <w:uiPriority w:val="9"/>
    <w:rsid w:val="00F41DB2"/>
    <w:rPr>
      <w:rFonts w:ascii="Times New Roman" w:eastAsia="Times New Roman" w:hAnsi="Times New Roman" w:cs="Times New Roman"/>
      <w:b/>
      <w:bCs/>
      <w:sz w:val="36"/>
      <w:szCs w:val="36"/>
      <w:lang w:eastAsia="sr-Latn-RS"/>
    </w:rPr>
  </w:style>
  <w:style w:type="character" w:styleId="Strong">
    <w:name w:val="Strong"/>
    <w:basedOn w:val="DefaultParagraphFont"/>
    <w:uiPriority w:val="22"/>
    <w:qFormat/>
    <w:rsid w:val="00AE7710"/>
    <w:rPr>
      <w:b/>
      <w:bCs/>
    </w:rPr>
  </w:style>
  <w:style w:type="character" w:customStyle="1" w:styleId="apple-converted-space">
    <w:name w:val="apple-converted-space"/>
    <w:basedOn w:val="DefaultParagraphFont"/>
    <w:rsid w:val="00AE7710"/>
  </w:style>
  <w:style w:type="paragraph" w:customStyle="1" w:styleId="Default">
    <w:name w:val="Default"/>
    <w:rsid w:val="001C6F63"/>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xl27">
    <w:name w:val="xl27"/>
    <w:basedOn w:val="Normal"/>
    <w:rsid w:val="001C6F63"/>
    <w:pPr>
      <w:spacing w:before="100" w:beforeAutospacing="1" w:after="100" w:afterAutospacing="1" w:line="240" w:lineRule="auto"/>
      <w:jc w:val="both"/>
    </w:pPr>
    <w:rPr>
      <w:rFonts w:ascii="Arial" w:eastAsia="Times New Roman" w:hAnsi="Arial" w:cs="Arial"/>
      <w:b/>
      <w:bCs/>
      <w:lang w:val="en-US"/>
    </w:rPr>
  </w:style>
  <w:style w:type="paragraph" w:customStyle="1" w:styleId="xl29">
    <w:name w:val="xl29"/>
    <w:basedOn w:val="Normal"/>
    <w:rsid w:val="001C6F63"/>
    <w:pPr>
      <w:spacing w:before="100" w:beforeAutospacing="1" w:after="100" w:afterAutospacing="1" w:line="240" w:lineRule="auto"/>
      <w:jc w:val="both"/>
    </w:pPr>
    <w:rPr>
      <w:rFonts w:ascii="Arial" w:eastAsia="Times New Roman" w:hAnsi="Arial" w:cs="Arial"/>
      <w:lang w:val="en-US"/>
    </w:rPr>
  </w:style>
  <w:style w:type="paragraph" w:customStyle="1" w:styleId="CharCharCharCharCharCharCharCharCharCharCharCharCharCharCharChar">
    <w:name w:val="Char Char Char Char Char Char Char Char Char Char Char Char Char Char Char Char"/>
    <w:basedOn w:val="Normal"/>
    <w:rsid w:val="001451B7"/>
    <w:pPr>
      <w:spacing w:after="160" w:line="240" w:lineRule="exact"/>
    </w:pPr>
    <w:rPr>
      <w:rFonts w:ascii="Verdana" w:eastAsia="Times New Roman" w:hAnsi="Verdana" w:cs="Times New Roman"/>
      <w:sz w:val="20"/>
      <w:szCs w:val="20"/>
      <w:lang w:val="en-US"/>
    </w:rPr>
  </w:style>
  <w:style w:type="paragraph" w:customStyle="1" w:styleId="Normal1">
    <w:name w:val="Normal1"/>
    <w:basedOn w:val="Normal"/>
    <w:rsid w:val="00D464FE"/>
    <w:pPr>
      <w:spacing w:before="100" w:beforeAutospacing="1" w:after="100" w:afterAutospacing="1" w:line="240" w:lineRule="auto"/>
    </w:pPr>
    <w:rPr>
      <w:rFonts w:ascii="Arial" w:eastAsia="Times New Roman" w:hAnsi="Arial" w:cs="Arial"/>
      <w:lang w:val="en-US"/>
    </w:rPr>
  </w:style>
  <w:style w:type="table" w:styleId="TableGrid">
    <w:name w:val="Table Grid"/>
    <w:basedOn w:val="TableNormal"/>
    <w:uiPriority w:val="59"/>
    <w:rsid w:val="000B0C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523242"/>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1DB2"/>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697E"/>
  </w:style>
  <w:style w:type="paragraph" w:styleId="Footer">
    <w:name w:val="footer"/>
    <w:basedOn w:val="Normal"/>
    <w:link w:val="FooterChar"/>
    <w:uiPriority w:val="99"/>
    <w:unhideWhenUsed/>
    <w:rsid w:val="00FF6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697E"/>
  </w:style>
  <w:style w:type="paragraph" w:styleId="BalloonText">
    <w:name w:val="Balloon Text"/>
    <w:basedOn w:val="Normal"/>
    <w:link w:val="BalloonTextChar"/>
    <w:uiPriority w:val="99"/>
    <w:semiHidden/>
    <w:unhideWhenUsed/>
    <w:rsid w:val="00FF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E"/>
    <w:rPr>
      <w:rFonts w:ascii="Tahoma" w:hAnsi="Tahoma" w:cs="Tahoma"/>
      <w:sz w:val="16"/>
      <w:szCs w:val="16"/>
    </w:rPr>
  </w:style>
  <w:style w:type="paragraph" w:styleId="EndnoteText">
    <w:name w:val="endnote text"/>
    <w:basedOn w:val="Normal"/>
    <w:link w:val="EndnoteTextChar"/>
    <w:uiPriority w:val="99"/>
    <w:semiHidden/>
    <w:unhideWhenUsed/>
    <w:rsid w:val="00DB50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508B"/>
    <w:rPr>
      <w:sz w:val="20"/>
      <w:szCs w:val="20"/>
    </w:rPr>
  </w:style>
  <w:style w:type="character" w:styleId="EndnoteReference">
    <w:name w:val="endnote reference"/>
    <w:basedOn w:val="DefaultParagraphFont"/>
    <w:uiPriority w:val="99"/>
    <w:semiHidden/>
    <w:unhideWhenUsed/>
    <w:rsid w:val="00DB508B"/>
    <w:rPr>
      <w:vertAlign w:val="superscript"/>
    </w:rPr>
  </w:style>
  <w:style w:type="paragraph" w:styleId="FootnoteText">
    <w:name w:val="footnote text"/>
    <w:basedOn w:val="Normal"/>
    <w:link w:val="FootnoteTextChar"/>
    <w:uiPriority w:val="99"/>
    <w:semiHidden/>
    <w:unhideWhenUsed/>
    <w:rsid w:val="00DB5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08B"/>
    <w:rPr>
      <w:sz w:val="20"/>
      <w:szCs w:val="20"/>
    </w:rPr>
  </w:style>
  <w:style w:type="character" w:styleId="FootnoteReference">
    <w:name w:val="footnote reference"/>
    <w:basedOn w:val="DefaultParagraphFont"/>
    <w:uiPriority w:val="99"/>
    <w:semiHidden/>
    <w:unhideWhenUsed/>
    <w:rsid w:val="00DB508B"/>
    <w:rPr>
      <w:vertAlign w:val="superscript"/>
    </w:rPr>
  </w:style>
  <w:style w:type="paragraph" w:styleId="ListParagraph">
    <w:name w:val="List Paragraph"/>
    <w:basedOn w:val="Normal"/>
    <w:uiPriority w:val="34"/>
    <w:qFormat/>
    <w:rsid w:val="00644B13"/>
    <w:pPr>
      <w:ind w:left="720"/>
      <w:contextualSpacing/>
    </w:pPr>
  </w:style>
  <w:style w:type="character" w:customStyle="1" w:styleId="Heading2Char">
    <w:name w:val="Heading 2 Char"/>
    <w:basedOn w:val="DefaultParagraphFont"/>
    <w:link w:val="Heading2"/>
    <w:uiPriority w:val="9"/>
    <w:rsid w:val="00F41DB2"/>
    <w:rPr>
      <w:rFonts w:ascii="Times New Roman" w:eastAsia="Times New Roman" w:hAnsi="Times New Roman" w:cs="Times New Roman"/>
      <w:b/>
      <w:bCs/>
      <w:sz w:val="36"/>
      <w:szCs w:val="36"/>
      <w:lang w:eastAsia="sr-Latn-RS"/>
    </w:rPr>
  </w:style>
  <w:style w:type="character" w:styleId="Strong">
    <w:name w:val="Strong"/>
    <w:basedOn w:val="DefaultParagraphFont"/>
    <w:uiPriority w:val="22"/>
    <w:qFormat/>
    <w:rsid w:val="00AE7710"/>
    <w:rPr>
      <w:b/>
      <w:bCs/>
    </w:rPr>
  </w:style>
  <w:style w:type="character" w:customStyle="1" w:styleId="apple-converted-space">
    <w:name w:val="apple-converted-space"/>
    <w:basedOn w:val="DefaultParagraphFont"/>
    <w:rsid w:val="00AE7710"/>
  </w:style>
  <w:style w:type="paragraph" w:customStyle="1" w:styleId="Default">
    <w:name w:val="Default"/>
    <w:rsid w:val="001C6F63"/>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xl27">
    <w:name w:val="xl27"/>
    <w:basedOn w:val="Normal"/>
    <w:rsid w:val="001C6F63"/>
    <w:pPr>
      <w:spacing w:before="100" w:beforeAutospacing="1" w:after="100" w:afterAutospacing="1" w:line="240" w:lineRule="auto"/>
      <w:jc w:val="both"/>
    </w:pPr>
    <w:rPr>
      <w:rFonts w:ascii="Arial" w:eastAsia="Times New Roman" w:hAnsi="Arial" w:cs="Arial"/>
      <w:b/>
      <w:bCs/>
      <w:lang w:val="en-US"/>
    </w:rPr>
  </w:style>
  <w:style w:type="paragraph" w:customStyle="1" w:styleId="xl29">
    <w:name w:val="xl29"/>
    <w:basedOn w:val="Normal"/>
    <w:rsid w:val="001C6F63"/>
    <w:pPr>
      <w:spacing w:before="100" w:beforeAutospacing="1" w:after="100" w:afterAutospacing="1" w:line="240" w:lineRule="auto"/>
      <w:jc w:val="both"/>
    </w:pPr>
    <w:rPr>
      <w:rFonts w:ascii="Arial" w:eastAsia="Times New Roman" w:hAnsi="Arial" w:cs="Arial"/>
      <w:lang w:val="en-US"/>
    </w:rPr>
  </w:style>
  <w:style w:type="paragraph" w:customStyle="1" w:styleId="CharCharCharCharCharCharCharCharCharCharCharCharCharCharCharChar">
    <w:name w:val="Char Char Char Char Char Char Char Char Char Char Char Char Char Char Char Char"/>
    <w:basedOn w:val="Normal"/>
    <w:rsid w:val="001451B7"/>
    <w:pPr>
      <w:spacing w:after="160" w:line="240" w:lineRule="exact"/>
    </w:pPr>
    <w:rPr>
      <w:rFonts w:ascii="Verdana" w:eastAsia="Times New Roman" w:hAnsi="Verdana" w:cs="Times New Roman"/>
      <w:sz w:val="20"/>
      <w:szCs w:val="20"/>
      <w:lang w:val="en-US"/>
    </w:rPr>
  </w:style>
  <w:style w:type="paragraph" w:customStyle="1" w:styleId="Normal1">
    <w:name w:val="Normal1"/>
    <w:basedOn w:val="Normal"/>
    <w:rsid w:val="00D464FE"/>
    <w:pPr>
      <w:spacing w:before="100" w:beforeAutospacing="1" w:after="100" w:afterAutospacing="1" w:line="240" w:lineRule="auto"/>
    </w:pPr>
    <w:rPr>
      <w:rFonts w:ascii="Arial" w:eastAsia="Times New Roman" w:hAnsi="Arial" w:cs="Arial"/>
      <w:lang w:val="en-US"/>
    </w:rPr>
  </w:style>
  <w:style w:type="table" w:styleId="TableGrid">
    <w:name w:val="Table Grid"/>
    <w:basedOn w:val="TableNormal"/>
    <w:uiPriority w:val="59"/>
    <w:rsid w:val="000B0C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523242"/>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875">
      <w:bodyDiv w:val="1"/>
      <w:marLeft w:val="0"/>
      <w:marRight w:val="0"/>
      <w:marTop w:val="0"/>
      <w:marBottom w:val="0"/>
      <w:divBdr>
        <w:top w:val="none" w:sz="0" w:space="0" w:color="auto"/>
        <w:left w:val="none" w:sz="0" w:space="0" w:color="auto"/>
        <w:bottom w:val="none" w:sz="0" w:space="0" w:color="auto"/>
        <w:right w:val="none" w:sz="0" w:space="0" w:color="auto"/>
      </w:divBdr>
    </w:div>
    <w:div w:id="319626755">
      <w:bodyDiv w:val="1"/>
      <w:marLeft w:val="0"/>
      <w:marRight w:val="0"/>
      <w:marTop w:val="0"/>
      <w:marBottom w:val="0"/>
      <w:divBdr>
        <w:top w:val="none" w:sz="0" w:space="0" w:color="auto"/>
        <w:left w:val="none" w:sz="0" w:space="0" w:color="auto"/>
        <w:bottom w:val="none" w:sz="0" w:space="0" w:color="auto"/>
        <w:right w:val="none" w:sz="0" w:space="0" w:color="auto"/>
      </w:divBdr>
    </w:div>
    <w:div w:id="742219327">
      <w:bodyDiv w:val="1"/>
      <w:marLeft w:val="0"/>
      <w:marRight w:val="0"/>
      <w:marTop w:val="0"/>
      <w:marBottom w:val="0"/>
      <w:divBdr>
        <w:top w:val="none" w:sz="0" w:space="0" w:color="auto"/>
        <w:left w:val="none" w:sz="0" w:space="0" w:color="auto"/>
        <w:bottom w:val="none" w:sz="0" w:space="0" w:color="auto"/>
        <w:right w:val="none" w:sz="0" w:space="0" w:color="auto"/>
      </w:divBdr>
    </w:div>
    <w:div w:id="743331710">
      <w:bodyDiv w:val="1"/>
      <w:marLeft w:val="0"/>
      <w:marRight w:val="0"/>
      <w:marTop w:val="0"/>
      <w:marBottom w:val="0"/>
      <w:divBdr>
        <w:top w:val="none" w:sz="0" w:space="0" w:color="auto"/>
        <w:left w:val="none" w:sz="0" w:space="0" w:color="auto"/>
        <w:bottom w:val="none" w:sz="0" w:space="0" w:color="auto"/>
        <w:right w:val="none" w:sz="0" w:space="0" w:color="auto"/>
      </w:divBdr>
    </w:div>
    <w:div w:id="1002705847">
      <w:bodyDiv w:val="1"/>
      <w:marLeft w:val="0"/>
      <w:marRight w:val="0"/>
      <w:marTop w:val="0"/>
      <w:marBottom w:val="0"/>
      <w:divBdr>
        <w:top w:val="none" w:sz="0" w:space="0" w:color="auto"/>
        <w:left w:val="none" w:sz="0" w:space="0" w:color="auto"/>
        <w:bottom w:val="none" w:sz="0" w:space="0" w:color="auto"/>
        <w:right w:val="none" w:sz="0" w:space="0" w:color="auto"/>
      </w:divBdr>
    </w:div>
    <w:div w:id="1026372151">
      <w:bodyDiv w:val="1"/>
      <w:marLeft w:val="0"/>
      <w:marRight w:val="0"/>
      <w:marTop w:val="0"/>
      <w:marBottom w:val="0"/>
      <w:divBdr>
        <w:top w:val="none" w:sz="0" w:space="0" w:color="auto"/>
        <w:left w:val="none" w:sz="0" w:space="0" w:color="auto"/>
        <w:bottom w:val="none" w:sz="0" w:space="0" w:color="auto"/>
        <w:right w:val="none" w:sz="0" w:space="0" w:color="auto"/>
      </w:divBdr>
    </w:div>
    <w:div w:id="1220553596">
      <w:bodyDiv w:val="1"/>
      <w:marLeft w:val="0"/>
      <w:marRight w:val="0"/>
      <w:marTop w:val="0"/>
      <w:marBottom w:val="0"/>
      <w:divBdr>
        <w:top w:val="none" w:sz="0" w:space="0" w:color="auto"/>
        <w:left w:val="none" w:sz="0" w:space="0" w:color="auto"/>
        <w:bottom w:val="none" w:sz="0" w:space="0" w:color="auto"/>
        <w:right w:val="none" w:sz="0" w:space="0" w:color="auto"/>
      </w:divBdr>
    </w:div>
    <w:div w:id="1344405634">
      <w:bodyDiv w:val="1"/>
      <w:marLeft w:val="0"/>
      <w:marRight w:val="0"/>
      <w:marTop w:val="0"/>
      <w:marBottom w:val="0"/>
      <w:divBdr>
        <w:top w:val="none" w:sz="0" w:space="0" w:color="auto"/>
        <w:left w:val="none" w:sz="0" w:space="0" w:color="auto"/>
        <w:bottom w:val="none" w:sz="0" w:space="0" w:color="auto"/>
        <w:right w:val="none" w:sz="0" w:space="0" w:color="auto"/>
      </w:divBdr>
    </w:div>
    <w:div w:id="1403529819">
      <w:bodyDiv w:val="1"/>
      <w:marLeft w:val="0"/>
      <w:marRight w:val="0"/>
      <w:marTop w:val="0"/>
      <w:marBottom w:val="0"/>
      <w:divBdr>
        <w:top w:val="none" w:sz="0" w:space="0" w:color="auto"/>
        <w:left w:val="none" w:sz="0" w:space="0" w:color="auto"/>
        <w:bottom w:val="none" w:sz="0" w:space="0" w:color="auto"/>
        <w:right w:val="none" w:sz="0" w:space="0" w:color="auto"/>
      </w:divBdr>
    </w:div>
    <w:div w:id="1407339153">
      <w:bodyDiv w:val="1"/>
      <w:marLeft w:val="0"/>
      <w:marRight w:val="0"/>
      <w:marTop w:val="0"/>
      <w:marBottom w:val="0"/>
      <w:divBdr>
        <w:top w:val="none" w:sz="0" w:space="0" w:color="auto"/>
        <w:left w:val="none" w:sz="0" w:space="0" w:color="auto"/>
        <w:bottom w:val="none" w:sz="0" w:space="0" w:color="auto"/>
        <w:right w:val="none" w:sz="0" w:space="0" w:color="auto"/>
      </w:divBdr>
    </w:div>
    <w:div w:id="1739548079">
      <w:bodyDiv w:val="1"/>
      <w:marLeft w:val="0"/>
      <w:marRight w:val="0"/>
      <w:marTop w:val="0"/>
      <w:marBottom w:val="0"/>
      <w:divBdr>
        <w:top w:val="none" w:sz="0" w:space="0" w:color="auto"/>
        <w:left w:val="none" w:sz="0" w:space="0" w:color="auto"/>
        <w:bottom w:val="none" w:sz="0" w:space="0" w:color="auto"/>
        <w:right w:val="none" w:sz="0" w:space="0" w:color="auto"/>
      </w:divBdr>
    </w:div>
    <w:div w:id="1784301652">
      <w:bodyDiv w:val="1"/>
      <w:marLeft w:val="0"/>
      <w:marRight w:val="0"/>
      <w:marTop w:val="0"/>
      <w:marBottom w:val="0"/>
      <w:divBdr>
        <w:top w:val="none" w:sz="0" w:space="0" w:color="auto"/>
        <w:left w:val="none" w:sz="0" w:space="0" w:color="auto"/>
        <w:bottom w:val="none" w:sz="0" w:space="0" w:color="auto"/>
        <w:right w:val="none" w:sz="0" w:space="0" w:color="auto"/>
      </w:divBdr>
    </w:div>
    <w:div w:id="1876233993">
      <w:bodyDiv w:val="1"/>
      <w:marLeft w:val="0"/>
      <w:marRight w:val="0"/>
      <w:marTop w:val="0"/>
      <w:marBottom w:val="0"/>
      <w:divBdr>
        <w:top w:val="none" w:sz="0" w:space="0" w:color="auto"/>
        <w:left w:val="none" w:sz="0" w:space="0" w:color="auto"/>
        <w:bottom w:val="none" w:sz="0" w:space="0" w:color="auto"/>
        <w:right w:val="none" w:sz="0" w:space="0" w:color="auto"/>
      </w:divBdr>
    </w:div>
    <w:div w:id="20266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D421-86FA-4183-B0D1-CF5FB670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12</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Prodaja imovine na kojoj je upisano založno pravo ili za koju postoji izlužčni zahtev</vt:lpstr>
    </vt:vector>
  </TitlesOfParts>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Prodaja imovine na kojoj je upisano založno pravo ili za koju postoji izlužčni zahtev</dc:title>
  <dc:creator>BrankoLj</dc:creator>
  <cp:lastModifiedBy>BrankoLj</cp:lastModifiedBy>
  <cp:revision>80</cp:revision>
  <dcterms:created xsi:type="dcterms:W3CDTF">2015-04-19T09:19:00Z</dcterms:created>
  <dcterms:modified xsi:type="dcterms:W3CDTF">2017-04-23T19:42:00Z</dcterms:modified>
</cp:coreProperties>
</file>